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Security EU v2.0</w:t>
      </w:r>
    </w:p>
    <w:p>
      <w:r>
        <w:t>Department: Security</w:t>
      </w:r>
    </w:p>
    <w:p>
      <w:r>
        <w:t>Author: Taylor Smith</w:t>
      </w:r>
    </w:p>
    <w:p>
      <w:r>
        <w:t>Created date: 2026-01-24</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Risk acceptance must be documented and revalidated each quarter. The process integrates with Endpoint Management and depends on Kubernetes for telemetry signals.</w:t>
      </w:r>
    </w:p>
    <w:p>
      <w:pPr>
        <w:pStyle w:val="ListBullet"/>
      </w:pPr>
      <w:r>
        <w:t>The Security team coordinates with Compliance Manager to maintain operational readiness.</w:t>
      </w:r>
    </w:p>
    <w:p>
      <w:pPr>
        <w:pStyle w:val="ListBullet"/>
      </w:pPr>
      <w:r>
        <w:t>The Security organization uses Kubernetes to enforce consistent service baselines.</w:t>
      </w:r>
    </w:p>
    <w:p>
      <w:pPr>
        <w:pStyle w:val="ListBullet"/>
      </w:pPr>
      <w:r>
        <w:t>Evidence artifacts are retained in GitHub Enterprise for at least 12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Vendor check</w:t>
            </w:r>
          </w:p>
        </w:tc>
        <w:tc>
          <w:tcPr>
            <w:tcW w:type="dxa" w:w="2880"/>
          </w:tcPr>
          <w:p>
            <w:r>
              <w:t>Security</w:t>
            </w:r>
          </w:p>
        </w:tc>
        <w:tc>
          <w:tcPr>
            <w:tcW w:type="dxa" w:w="2880"/>
          </w:tcPr>
          <w:p>
            <w:r>
              <w:t>Blocked</w:t>
            </w:r>
          </w:p>
        </w:tc>
      </w:tr>
      <w:tr>
        <w:tc>
          <w:tcPr>
            <w:tcW w:type="dxa" w:w="2880"/>
          </w:tcPr>
          <w:p>
            <w:r>
              <w:t>Patch window</w:t>
            </w:r>
          </w:p>
        </w:tc>
        <w:tc>
          <w:tcPr>
            <w:tcW w:type="dxa" w:w="2880"/>
          </w:tcPr>
          <w:p>
            <w:r>
              <w:t>Operations</w:t>
            </w:r>
          </w:p>
        </w:tc>
        <w:tc>
          <w:tcPr>
            <w:tcW w:type="dxa" w:w="2880"/>
          </w:tcPr>
          <w:p>
            <w:r>
              <w:t>Planned</w:t>
            </w:r>
          </w:p>
        </w:tc>
      </w:tr>
    </w:tbl>
    <w:p>
      <w:pPr>
        <w:pStyle w:val="Heading1"/>
      </w:pPr>
      <w:r>
        <w:t>Endpoints</w:t>
      </w:r>
    </w:p>
    <w:p>
      <w:r>
        <w:t>Risk acceptance must be documented and revalidated each quarter. The process integrates with Endpoint Management and depends on Kubernetes for telemetry signals. Audit sampling occurs monthly and is summarized in leadership dashboards.</w:t>
      </w:r>
    </w:p>
    <w:p>
      <w:pPr>
        <w:pStyle w:val="ListBullet"/>
      </w:pPr>
      <w:r>
        <w:t>Risk acceptance must be documented and revalidated each quarter.</w:t>
      </w:r>
    </w:p>
    <w:p>
      <w:pPr>
        <w:pStyle w:val="ListBullet"/>
      </w:pPr>
      <w:r>
        <w:t>The Security organization uses Kubernetes to enforce consistent service baselines.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The Security team coordinates with Compliance Manager to maintain operational readiness.</w:t>
      </w:r>
    </w:p>
    <w:p>
      <w:pPr>
        <w:pStyle w:val="Heading1"/>
      </w:pPr>
      <w:r>
        <w:t>Request and Response</w:t>
      </w:r>
    </w:p>
    <w:p>
      <w:r>
        <w:t>The process integrates with Endpoint Management and depends on Kubernetes for telemetry signals. The Security organization uses Kubernetes to enforce consistent service baselines. The Security organization uses Kubernetes to enforce consistent service baselines. Regional teams in EU follow the same policy with localized legal review.</w:t>
      </w:r>
    </w:p>
    <w:p>
      <w:r>
        <w:t>The Security organization uses Kubernetes to enforce consistent service baselines. All changes require peer review and validation in the Endpoint Management before production promotion.</w:t>
      </w:r>
    </w:p>
    <w:p>
      <w:pPr>
        <w:pStyle w:val="ListBullet"/>
      </w:pPr>
      <w:r>
        <w:t>Regional teams in EU follow the same policy with localized legal review.</w:t>
      </w:r>
    </w:p>
    <w:p>
      <w:pPr>
        <w:pStyle w:val="ListBullet"/>
      </w:pPr>
      <w:r>
        <w:t>Systems are monitored via Kubernetes and alert routing in GitHub Enterprise.</w:t>
      </w:r>
    </w:p>
    <w:p>
      <w:pPr>
        <w:pStyle w:val="ListBullet"/>
      </w:pPr>
      <w:r>
        <w:t>This document aligns with HIPAA requirements and supports EU data residency expectations.</w:t>
      </w:r>
    </w:p>
    <w:p>
      <w:pPr>
        <w:pStyle w:val="ListBullet"/>
      </w:pPr>
      <w:r>
        <w:t>Risk acceptance must be documented and revalidated each quarter.</w:t>
      </w:r>
    </w:p>
    <w:p>
      <w:pPr>
        <w:pStyle w:val="ListBullet"/>
      </w:pPr>
      <w:r>
        <w:t>Evidence artifacts are retained in GitHub Enterprise for at least 12 months.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Blocked</w:t>
            </w:r>
          </w:p>
        </w:tc>
      </w:tr>
      <w:tr>
        <w:tc>
          <w:tcPr>
            <w:tcW w:type="dxa" w:w="2880"/>
          </w:tcPr>
          <w:p>
            <w:r>
              <w:t>Patch window</w:t>
            </w:r>
          </w:p>
        </w:tc>
        <w:tc>
          <w:tcPr>
            <w:tcW w:type="dxa" w:w="2880"/>
          </w:tcPr>
          <w:p>
            <w:r>
              <w:t>Compliance Manager</w:t>
            </w:r>
          </w:p>
        </w:tc>
        <w:tc>
          <w:tcPr>
            <w:tcW w:type="dxa" w:w="2880"/>
          </w:tcPr>
          <w:p>
            <w:r>
              <w:t>Planned</w:t>
            </w:r>
          </w:p>
        </w:tc>
      </w:tr>
    </w:tbl>
    <w:p>
      <w:pPr>
        <w:pStyle w:val="Heading1"/>
      </w:pPr>
      <w:r>
        <w:t>Error Handling</w:t>
      </w:r>
    </w:p>
    <w:p>
      <w:r>
        <w:t>Regional teams in EU follow the same policy with localized legal review. The Security organization uses Kubernetes to enforce consistent service baselines. Teams must log requests in GitHub Enterprise and track outcomes in Endpoint Management for audit readiness. Regional teams in EU follow the same policy with localized legal review.</w:t>
      </w:r>
    </w:p>
    <w:p>
      <w:pPr>
        <w:pStyle w:val="ListBullet"/>
      </w:pPr>
      <w:r>
        <w:t>All changes require peer review and validation in the Endpoint Management before production promotion.</w:t>
      </w:r>
    </w:p>
    <w:p>
      <w:pPr>
        <w:pStyle w:val="ListBullet"/>
      </w:pPr>
      <w:r>
        <w:t>Evidence artifacts are retained in GitHub Enterprise for at least 12 months.</w:t>
      </w:r>
    </w:p>
    <w:p>
      <w:pPr>
        <w:pStyle w:val="ListBullet"/>
      </w:pPr>
      <w:r>
        <w:t>The process integrates with Endpoint Management and depends on Kubernetes for telemetry signals.</w:t>
      </w:r>
    </w:p>
    <w:p>
      <w:pPr>
        <w:pStyle w:val="ListBullet"/>
      </w:pPr>
      <w:r>
        <w:t>This document aligns with HIPAA requirements and supports EU data residency expectations.</w:t>
      </w:r>
    </w:p>
    <w:p>
      <w:pPr>
        <w:pStyle w:val="ListBullet"/>
      </w:pPr>
      <w:r>
        <w:t>Evidence artifacts are retained in GitHub Enterprise for at least 12 months.</w:t>
      </w:r>
    </w:p>
    <w:p>
      <w:pPr>
        <w:pStyle w:val="ListBullet"/>
      </w:pPr>
      <w:r>
        <w:t>We prioritize customer impact, data integrity, and regulatory alignment.</w:t>
      </w:r>
    </w:p>
    <w:p>
      <w:pPr>
        <w:pStyle w:val="Heading1"/>
      </w:pPr>
      <w:r>
        <w:t>Rate Limits</w:t>
      </w:r>
    </w:p>
    <w:p>
      <w:r>
        <w:t>Escalations should follow the on-call rotation with a response target of 60 minutes. This document aligns with HIPAA requirements and supports EU data residency expectations. All changes require peer review and validation in the Endpoint Management before production promotion.</w:t>
      </w:r>
    </w:p>
    <w:p>
      <w:r>
        <w:t>Escalations should follow the on-call rotation with a response target of 60 minutes. Teams must log requests in GitHub Enterprise and track outcomes in Endpoint Management for audit readiness. Evidence artifacts are retained in GitHub Enterprise for at least 12 months. Escalations should follow the on-call rotation with a response target of 60 minutes.</w:t>
      </w:r>
    </w:p>
    <w:p>
      <w:pPr>
        <w:pStyle w:val="ListBullet"/>
      </w:pPr>
      <w:r>
        <w:t>Escalations should follow the on-call rotation with a response target of 60 minutes.</w:t>
      </w:r>
    </w:p>
    <w:p>
      <w:pPr>
        <w:pStyle w:val="ListBullet"/>
      </w:pPr>
      <w:r>
        <w:t>We prioritize customer impact, data integrity, and regulatory alignment.</w:t>
      </w:r>
    </w:p>
    <w:p>
      <w:pPr>
        <w:pStyle w:val="ListBullet"/>
      </w:pPr>
      <w:r>
        <w:t>Systems are monitored via Kubernetes and alert routing in GitHub Enterprise.</w:t>
      </w:r>
    </w:p>
    <w:p>
      <w:pPr>
        <w:pStyle w:val="ListBullet"/>
      </w:pPr>
      <w:r>
        <w:t>Evidence artifacts are retained in GitHub Enterprise for at least 12 months.</w:t>
      </w:r>
    </w:p>
    <w:p>
      <w:pPr>
        <w:pStyle w:val="ListBullet"/>
      </w:pPr>
      <w:r>
        <w:t>Stakeholders include the Compliance Manager, service owner, and compliance lead for approvals.</w:t>
      </w:r>
    </w:p>
    <w:p>
      <w:pPr>
        <w:pStyle w:val="ListBullet"/>
      </w:pPr>
      <w:r>
        <w:t>The Security team coordinates with Compliance Manager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