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Cloud Infrastructure APAC v1.0</w:t>
      </w:r>
    </w:p>
    <w:p>
      <w:r>
        <w:t>Department: Cloud Infrastructure</w:t>
      </w:r>
    </w:p>
    <w:p>
      <w:r>
        <w:t>Author: Jordan Patel</w:t>
      </w:r>
    </w:p>
    <w:p>
      <w:r>
        <w:t>Created date: 2025-07-02</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The process integrates with CI/CD Pipeline and depends on Kafka for telemetry signals. Stakeholders include the Support Specialist, service owner, and compliance lead for approvals.</w:t>
      </w:r>
    </w:p>
    <w:p>
      <w:r>
        <w:t>We prioritize customer impact, data integrity, and regulatory alignment. Risk acceptance must be documented and revalidated each quarter. The Cloud Infrastructure team coordinates with Support Specialist to maintain operational readiness. All incidents are tagged with severity and mapped to service tiers.</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The Cloud Infrastructure organization uses Kafka to enforce consistent service baselines.</w:t>
      </w:r>
    </w:p>
    <w:p>
      <w:pPr>
        <w:pStyle w:val="Heading1"/>
      </w:pPr>
      <w:r>
        <w:t>Networking</w:t>
      </w:r>
    </w:p>
    <w:p>
      <w:r>
        <w:t>The process integrates with CI/CD Pipeline and depends on Kafka for telemetry signals. Teams must log requests in Confluence and track outcomes in CI/CD Pipeline for audit readiness. The process integrates with CI/CD Pipeline and depends on Kafka for telemetry signals.</w:t>
      </w:r>
    </w:p>
    <w:p>
      <w:r>
        <w:t>Systems are monitored via Kafka and alert routing in Confluence. The Cloud Infrastructure team coordinates with Support Specialist to maintain operational readiness. The Cloud Infrastructure team coordinates with Support Specialist to maintain operational readiness. Stakeholders include the Support Specialist, service owner, and compliance lead for approvals.</w:t>
      </w:r>
    </w:p>
    <w:p>
      <w:pPr>
        <w:pStyle w:val="ListBullet"/>
      </w:pPr>
      <w:r>
        <w:t>Regional teams in APAC follow the same policy with localized legal review.</w:t>
      </w:r>
    </w:p>
    <w:p>
      <w:pPr>
        <w:pStyle w:val="ListBullet"/>
      </w:pPr>
      <w:r>
        <w:t>The process integrates with CI/CD Pipeline and depends on Kafka for telemetry signals.</w:t>
      </w:r>
    </w:p>
    <w:p>
      <w:pPr>
        <w:pStyle w:val="ListBullet"/>
      </w:pPr>
      <w:r>
        <w:t>Audit sampling occurs monthly and is summarized in leadership dashboards.</w:t>
      </w:r>
    </w:p>
    <w:p>
      <w:pPr>
        <w:pStyle w:val="Heading1"/>
      </w:pPr>
      <w:r>
        <w:t>Identity and Access</w:t>
      </w:r>
    </w:p>
    <w:p>
      <w:r>
        <w:t>Escalations should follow the on-call rotation with a response target of 15 minutes. Systems are monitored via Kafka and alert routing in Confluence. Regional teams in APAC follow the same policy with localized legal review. Escalations should follow the on-call rotation with a response target of 15 minutes.</w:t>
      </w:r>
    </w:p>
    <w:p>
      <w:r>
        <w:t>Regional teams in APAC follow the same policy with localized legal review. We prioritize customer impact, data integrity, and regulatory alignment. Regional teams in APAC follow the same policy with localized legal review.</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Systems are monitored via Kafka and alert routing in Confluence.</w:t>
      </w:r>
    </w:p>
    <w:p>
      <w:pPr>
        <w:pStyle w:val="ListBullet"/>
      </w:pPr>
      <w:r>
        <w:t>Evidence artifacts are retained in Confluence for at least 18 months.</w:t>
      </w:r>
    </w:p>
    <w:p>
      <w:pPr>
        <w:pStyle w:val="ListBullet"/>
      </w:pPr>
      <w:r>
        <w:t>We prioritize customer impact, data integrity, and regulatory alignment.</w:t>
      </w:r>
    </w:p>
    <w:p>
      <w:pPr>
        <w:pStyle w:val="Heading1"/>
      </w:pPr>
      <w:r>
        <w:t>Backup and DR</w:t>
      </w:r>
    </w:p>
    <w:p>
      <w:r>
        <w:t>Evidence artifacts are retained in Confluence for at least 18 months. All changes require peer review and validation in the CI/CD Pipeline before production promotion.</w:t>
      </w:r>
    </w:p>
    <w:p>
      <w:r>
        <w:t>The Cloud Infrastructure team coordinates with Support Specialist to maintain operational readiness. This document aligns with SOX requirements and supports APAC data residency expectations.</w:t>
      </w:r>
    </w:p>
    <w:p>
      <w:pPr>
        <w:pStyle w:val="ListBullet"/>
      </w:pPr>
      <w:r>
        <w:t>Regional teams in APAC follow the same policy with localized legal review.</w:t>
      </w:r>
    </w:p>
    <w:p>
      <w:pPr>
        <w:pStyle w:val="ListBullet"/>
      </w:pPr>
      <w:r>
        <w:t>Stakeholders include the Support Specialist, service owner, and compliance lead for approvals.</w:t>
      </w:r>
    </w:p>
    <w:p>
      <w:pPr>
        <w:pStyle w:val="ListBullet"/>
      </w:pPr>
      <w:r>
        <w:t>All incidents are tagged with severity and mapped to service tiers.</w:t>
      </w:r>
    </w:p>
    <w:p>
      <w:pPr>
        <w:pStyle w:val="ListBullet"/>
      </w:pPr>
      <w:r>
        <w:t>All changes require peer review and validation in the CI/CD Pipeline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Access review</w:t>
            </w:r>
          </w:p>
        </w:tc>
        <w:tc>
          <w:tcPr>
            <w:tcW w:type="dxa" w:w="2880"/>
          </w:tcPr>
          <w:p>
            <w:r>
              <w:t>Support Specialist</w:t>
            </w:r>
          </w:p>
        </w:tc>
        <w:tc>
          <w:tcPr>
            <w:tcW w:type="dxa" w:w="2880"/>
          </w:tcPr>
          <w:p>
            <w:r>
              <w:t>Complete</w:t>
            </w:r>
          </w:p>
        </w:tc>
      </w:tr>
    </w:tbl>
    <w:p>
      <w:pPr>
        <w:pStyle w:val="Heading1"/>
      </w:pPr>
      <w:r>
        <w:t>Cost Optimization</w:t>
      </w:r>
    </w:p>
    <w:p>
      <w:r>
        <w:t>Audit sampling occurs monthly and is summarized in leadership dashboards. Teams must log requests in Confluence and track outcomes in CI/CD Pipeline for audit readiness.</w:t>
      </w:r>
    </w:p>
    <w:p>
      <w:r>
        <w:t>All changes require peer review and validation in the CI/CD Pipeline before production promotion. Evidence artifacts are retained in Confluence for at least 18 months. Risk acceptance must be documented and revalidated each quarter.</w:t>
      </w:r>
    </w:p>
    <w:p>
      <w:pPr>
        <w:pStyle w:val="ListBullet"/>
      </w:pPr>
      <w:r>
        <w:t>The process integrates with CI/CD Pipeline and depends on Kafka for telemetry signals.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