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Infrastructure Guides - Cloud Infrastructure EU v3.0</w:t>
      </w:r>
    </w:p>
    <w:p>
      <w:r>
        <w:t>Department: Cloud Infrastructure</w:t>
      </w:r>
    </w:p>
    <w:p>
      <w:r>
        <w:t>Author: Casey Brown</w:t>
      </w:r>
    </w:p>
    <w:p>
      <w:r>
        <w:t>Created date: 2026-03-29</w:t>
      </w:r>
    </w:p>
    <w:p>
      <w:r>
        <w:t>Region: EU</w:t>
      </w:r>
    </w:p>
    <w:p>
      <w:r>
        <w:t>Version: 3.0</w:t>
      </w:r>
    </w:p>
    <w:p>
      <w:r>
        <w:t>This internal document is intended for authorized employees and outlines standard guidance for enterprise operations.</w:t>
      </w:r>
    </w:p>
    <w:p>
      <w:r>
        <w:t>Where possible, teams should reuse existing patterns, templates, and approved tooling to reduce operational risk.</w:t>
      </w:r>
    </w:p>
    <w:p>
      <w:r>
        <w:t>Any deviation from the described process must be approved through the documented exception workflow.</w:t>
      </w:r>
    </w:p>
    <w:p>
      <w:pPr>
        <w:pStyle w:val="Heading1"/>
      </w:pPr>
      <w:r>
        <w:t>Architecture Overview</w:t>
      </w:r>
    </w:p>
    <w:p>
      <w:r>
        <w:t>All incidents are tagged with severity and mapped to service tiers. We prioritize customer impact, data integrity, and regulatory alignment. Systems are monitored via Kubernetes and alert routing in Workday.</w:t>
      </w:r>
    </w:p>
    <w:p>
      <w:r>
        <w:t>The Cloud Infrastructure organization uses Kubernetes to enforce consistent service baselines. All changes require peer review and validation in the Document Repository before production promotion. This document aligns with SOC 2 requirements and supports EU data residency expectations. Systems are monitored via Kubernetes and alert routing in Workday.</w:t>
      </w:r>
    </w:p>
    <w:p>
      <w:pPr>
        <w:pStyle w:val="ListBullet"/>
      </w:pPr>
      <w:r>
        <w:t>The Cloud Infrastructure team coordinates with SRE to maintain operational readiness.</w:t>
      </w:r>
    </w:p>
    <w:p>
      <w:pPr>
        <w:pStyle w:val="ListBullet"/>
      </w:pPr>
      <w:r>
        <w:t>All incidents are tagged with severity and mapped to service tiers.</w:t>
      </w:r>
    </w:p>
    <w:p>
      <w:pPr>
        <w:pStyle w:val="ListBullet"/>
      </w:pPr>
      <w:r>
        <w:t>All changes require peer review and validation in the Document Repository before production promotion.</w:t>
      </w:r>
    </w:p>
    <w:p>
      <w:pPr>
        <w:pStyle w:val="ListBullet"/>
      </w:pPr>
      <w:r>
        <w:t>Systems are monitored via Kubernetes and alert routing in Workday.</w:t>
      </w:r>
    </w:p>
    <w:p>
      <w:pPr>
        <w:pStyle w:val="ListBullet"/>
      </w:pPr>
      <w:r>
        <w:t>All changes require peer review and validation in the Document Repository before production promotion.</w:t>
      </w:r>
    </w:p>
    <w:p>
      <w:pPr>
        <w:pStyle w:val="Heading1"/>
      </w:pPr>
      <w:r>
        <w:t>Networking</w:t>
      </w:r>
    </w:p>
    <w:p>
      <w:r>
        <w:t>Systems are monitored via Kubernetes and alert routing in Workday. Regional teams in EU follow the same policy with localized legal review.</w:t>
      </w:r>
    </w:p>
    <w:p>
      <w:r>
        <w:t>Regional teams in EU follow the same policy with localized legal review. The process integrates with Document Repository and depends on Kubernetes for telemetry signals.</w:t>
      </w:r>
    </w:p>
    <w:p>
      <w:pPr>
        <w:pStyle w:val="ListBullet"/>
      </w:pPr>
      <w:r>
        <w:t>All incidents are tagged with severity and mapped to service tiers.</w:t>
      </w:r>
    </w:p>
    <w:p>
      <w:pPr>
        <w:pStyle w:val="ListBullet"/>
      </w:pPr>
      <w:r>
        <w:t>Escalations should follow the on-call rotation with a response target of 30 minutes.</w:t>
      </w:r>
    </w:p>
    <w:p>
      <w:pPr>
        <w:pStyle w:val="ListBullet"/>
      </w:pPr>
      <w:r>
        <w:t>Risk acceptance must be documented and revalidated each quarter.</w:t>
      </w:r>
    </w:p>
    <w:p>
      <w:pPr>
        <w:pStyle w:val="ListBullet"/>
      </w:pPr>
      <w:r>
        <w:t>This document aligns with SOC 2 requirements and supports EU data residency expectations.</w:t>
      </w:r>
    </w:p>
    <w:p>
      <w:pPr>
        <w:pStyle w:val="ListBullet"/>
      </w:pPr>
      <w:r>
        <w:t>Escalations should follow the on-call rotation with a response target of 30 minutes.</w:t>
      </w:r>
    </w:p>
    <w:p>
      <w:pPr>
        <w:pStyle w:val="ListBullet"/>
      </w:pPr>
      <w:r>
        <w:t>This document aligns with SOC 2 requirements and supports EU data residency expectations.</w:t>
      </w:r>
    </w:p>
    <w:p>
      <w:pPr>
        <w:pStyle w:val="Heading1"/>
      </w:pPr>
      <w:r>
        <w:t>Identity and Access</w:t>
      </w:r>
    </w:p>
    <w:p>
      <w:r>
        <w:t>Teams must log requests in Workday and track outcomes in Document Repository for audit readiness. The Cloud Infrastructure team coordinates with SRE to maintain operational readiness.</w:t>
      </w:r>
    </w:p>
    <w:p>
      <w:r>
        <w:t>Regional teams in EU follow the same policy with localized legal review. Escalations should follow the on-call rotation with a response target of 30 minutes. All changes require peer review and validation in the Document Repository before production promotion.</w:t>
      </w:r>
    </w:p>
    <w:p>
      <w:pPr>
        <w:pStyle w:val="ListBullet"/>
      </w:pPr>
      <w:r>
        <w:t>Escalations should follow the on-call rotation with a response target of 30 minutes.</w:t>
      </w:r>
    </w:p>
    <w:p>
      <w:pPr>
        <w:pStyle w:val="ListBullet"/>
      </w:pPr>
      <w:r>
        <w:t>The process integrates with Document Repository and depends on Kubernetes for telemetry signals.</w:t>
      </w:r>
    </w:p>
    <w:p>
      <w:pPr>
        <w:pStyle w:val="ListBullet"/>
      </w:pPr>
      <w:r>
        <w:t>Regional teams in EU follow the same policy with localized legal review.</w:t>
      </w:r>
    </w:p>
    <w:p>
      <w:pPr>
        <w:pStyle w:val="ListBullet"/>
      </w:pPr>
      <w:r>
        <w:t>All changes require peer review and validation in the Document Repository before production promotion.</w:t>
      </w:r>
    </w:p>
    <w:p>
      <w:pPr>
        <w:pStyle w:val="ListBullet"/>
      </w:pPr>
      <w:r>
        <w:t>Risk acceptance must be documented and revalidated each quarter.</w:t>
      </w:r>
    </w:p>
    <w:p>
      <w:pPr>
        <w:pStyle w:val="Heading1"/>
      </w:pPr>
      <w:r>
        <w:t>Backup and DR</w:t>
      </w:r>
    </w:p>
    <w:p>
      <w:r>
        <w:t>This document aligns with SOC 2 requirements and supports EU data residency expectations. This document aligns with SOC 2 requirements and supports EU data residency expectations. We prioritize customer impact, data integrity, and regulatory alignment.</w:t>
      </w:r>
    </w:p>
    <w:p>
      <w:r>
        <w:t>This document aligns with SOC 2 requirements and supports EU data residency expectations. The process integrates with Document Repository and depends on Kubernetes for telemetry signals. Systems are monitored via Kubernetes and alert routing in Workday.</w:t>
      </w:r>
    </w:p>
    <w:p>
      <w:pPr>
        <w:pStyle w:val="ListBullet"/>
      </w:pPr>
      <w:r>
        <w:t>Risk acceptance must be documented and revalidated each quarter.</w:t>
      </w:r>
    </w:p>
    <w:p>
      <w:pPr>
        <w:pStyle w:val="ListBullet"/>
      </w:pPr>
      <w:r>
        <w:t>We prioritize customer impact, data integrity, and regulatory alignment.</w:t>
      </w:r>
    </w:p>
    <w:p>
      <w:pPr>
        <w:pStyle w:val="ListBullet"/>
      </w:pPr>
      <w:r>
        <w:t>This document aligns with SOC 2 requirements and supports EU data residency expectations.</w:t>
      </w:r>
    </w:p>
    <w:p>
      <w:pPr>
        <w:pStyle w:val="ListBullet"/>
      </w:pPr>
      <w:r>
        <w:t>Risk acceptance must be documented and revalidated each quarter.</w:t>
      </w:r>
    </w:p>
    <w:p>
      <w:pPr>
        <w:pStyle w:val="ListBullet"/>
      </w:pPr>
      <w:r>
        <w:t>Teams must log requests in Workday and track outcomes in Document Repository for audit readiness.</w:t>
      </w:r>
    </w:p>
    <w:p>
      <w:pPr>
        <w:pStyle w:val="Heading1"/>
      </w:pPr>
      <w:r>
        <w:t>Cost Optimization</w:t>
      </w:r>
    </w:p>
    <w:p>
      <w:r>
        <w:t>Teams must log requests in Workday and track outcomes in Document Repository for audit readiness. Audit sampling occurs monthly and is summarized in leadership dashboards.</w:t>
      </w:r>
    </w:p>
    <w:p>
      <w:pPr>
        <w:pStyle w:val="ListBullet"/>
      </w:pPr>
      <w:r>
        <w:t>Audit sampling occurs monthly and is summarized in leadership dashboards.</w:t>
      </w:r>
    </w:p>
    <w:p>
      <w:pPr>
        <w:pStyle w:val="ListBullet"/>
      </w:pPr>
      <w:r>
        <w:t>Escalations should follow the on-call rotation with a response target of 30 minutes.</w:t>
      </w:r>
    </w:p>
    <w:p>
      <w:pPr>
        <w:pStyle w:val="ListBullet"/>
      </w:pPr>
      <w:r>
        <w:t>Escalations should follow the on-call rotation with a response target of 30 minutes.</w:t>
      </w:r>
    </w:p>
    <w:p>
      <w:pPr>
        <w:pStyle w:val="ListBullet"/>
      </w:pPr>
      <w:r>
        <w:t>Teams must log requests in Workday and track outcomes in Document Repository for audit readiness.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Incident drill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Vendor check</w:t>
            </w:r>
          </w:p>
        </w:tc>
        <w:tc>
          <w:tcPr>
            <w:tcW w:type="dxa" w:w="2880"/>
          </w:tcPr>
          <w:p>
            <w:r>
              <w:t>Cloud Infrastructure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