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Compliance EU v1.1</w:t>
      </w:r>
    </w:p>
    <w:p>
      <w:r>
        <w:t>Department: Compliance</w:t>
      </w:r>
    </w:p>
    <w:p>
      <w:r>
        <w:t>Author: Morgan Nguyen</w:t>
      </w:r>
    </w:p>
    <w:p>
      <w:r>
        <w:t>Created date: 2024-12-26</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Risk acceptance must be documented and revalidated each quarter. Evidence artifacts are retained in Slack for at least 36 months. The process integrates with ERP System and depends on Kubernetes for telemetry signals.</w:t>
      </w:r>
    </w:p>
    <w:p>
      <w:r>
        <w:t>Systems are monitored via Kubernetes and alert routing in Slack. We prioritize customer impact, data integrity, and regulatory alignment. Stakeholders include the Systems Engineer, service owner, and compliance lead for approvals.</w:t>
      </w:r>
    </w:p>
    <w:p>
      <w:pPr>
        <w:pStyle w:val="ListBullet"/>
      </w:pPr>
      <w:r>
        <w:t>Escalations should follow the on-call rotation with a response target of 45 minutes.</w:t>
      </w:r>
    </w:p>
    <w:p>
      <w:pPr>
        <w:pStyle w:val="ListBullet"/>
      </w:pPr>
      <w:r>
        <w:t>All changes require peer review and validation in the ERP System before production promotion.</w:t>
      </w:r>
    </w:p>
    <w:p>
      <w:pPr>
        <w:pStyle w:val="ListBullet"/>
      </w:pPr>
      <w:r>
        <w:t>Teams must log requests in Slack and track outcomes in ERP System for audit readiness.</w:t>
      </w:r>
    </w:p>
    <w:p>
      <w:pPr>
        <w:pStyle w:val="ListBullet"/>
      </w:pPr>
      <w:r>
        <w:t>Escalations should follow the on-call rotation with a response target of 45 minutes.</w:t>
      </w:r>
    </w:p>
    <w:p>
      <w:pPr>
        <w:pStyle w:val="ListBullet"/>
      </w:pPr>
      <w:r>
        <w:t>The process integrates with ERP System and depends on Kubernetes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Systems Engineer</w:t>
            </w:r>
          </w:p>
        </w:tc>
        <w:tc>
          <w:tcPr>
            <w:tcW w:type="dxa" w:w="2880"/>
          </w:tcPr>
          <w:p>
            <w:r>
              <w:t>Planned</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Systems Engineer</w:t>
            </w:r>
          </w:p>
        </w:tc>
        <w:tc>
          <w:tcPr>
            <w:tcW w:type="dxa" w:w="2880"/>
          </w:tcPr>
          <w:p>
            <w:r>
              <w:t>Complete</w:t>
            </w:r>
          </w:p>
        </w:tc>
      </w:tr>
      <w:tr>
        <w:tc>
          <w:tcPr>
            <w:tcW w:type="dxa" w:w="2880"/>
          </w:tcPr>
          <w:p>
            <w:r>
              <w:t>Incident drill</w:t>
            </w:r>
          </w:p>
        </w:tc>
        <w:tc>
          <w:tcPr>
            <w:tcW w:type="dxa" w:w="2880"/>
          </w:tcPr>
          <w:p>
            <w:r>
              <w:t>Security</w:t>
            </w:r>
          </w:p>
        </w:tc>
        <w:tc>
          <w:tcPr>
            <w:tcW w:type="dxa" w:w="2880"/>
          </w:tcPr>
          <w:p>
            <w:r>
              <w:t>Blocked</w:t>
            </w:r>
          </w:p>
        </w:tc>
      </w:tr>
    </w:tbl>
    <w:p>
      <w:pPr>
        <w:pStyle w:val="Heading1"/>
      </w:pPr>
      <w:r>
        <w:t>Networking</w:t>
      </w:r>
    </w:p>
    <w:p>
      <w:r>
        <w:t>The process integrates with ERP System and depends on Kubernetes for telemetry signals. Stakeholders include the Systems Engineer, service owner, and compliance lead for approvals.</w:t>
      </w:r>
    </w:p>
    <w:p>
      <w:r>
        <w:t>All incidents are tagged with severity and mapped to service tiers. Escalations should follow the on-call rotation with a response target of 45 minutes. The Compliance team coordinates with Systems Engineer to maintain operational readiness. This document aligns with HIPAA requirements and supports EU data residency expectations.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The Compliance organization uses Kubernetes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Backup validation</w:t>
            </w:r>
          </w:p>
        </w:tc>
        <w:tc>
          <w:tcPr>
            <w:tcW w:type="dxa" w:w="2880"/>
          </w:tcPr>
          <w:p>
            <w:r>
              <w:t>Operations</w:t>
            </w:r>
          </w:p>
        </w:tc>
        <w:tc>
          <w:tcPr>
            <w:tcW w:type="dxa" w:w="2880"/>
          </w:tcPr>
          <w:p>
            <w:r>
              <w:t>Complete</w:t>
            </w:r>
          </w:p>
        </w:tc>
      </w:tr>
    </w:tbl>
    <w:p>
      <w:pPr>
        <w:pStyle w:val="Heading1"/>
      </w:pPr>
      <w:r>
        <w:t>Identity and Access</w:t>
      </w:r>
    </w:p>
    <w:p>
      <w:r>
        <w:t>This document aligns with HIPAA requirements and supports EU data residency expectations. Systems are monitored via Kubernetes and alert routing in Slack. All incidents are tagged with severity and mapped to service tiers. Evidence artifacts are retained in Slack for at least 36 months.</w:t>
      </w:r>
    </w:p>
    <w:p>
      <w:pPr>
        <w:pStyle w:val="ListBullet"/>
      </w:pPr>
      <w:r>
        <w:t>The Compliance organization uses Kubernetes to enforce consistent service baselines.</w:t>
      </w:r>
    </w:p>
    <w:p>
      <w:pPr>
        <w:pStyle w:val="ListBullet"/>
      </w:pPr>
      <w:r>
        <w:t>All changes require peer review and validation in the ERP System before production promotion.</w:t>
      </w:r>
    </w:p>
    <w:p>
      <w:pPr>
        <w:pStyle w:val="ListBullet"/>
      </w:pPr>
      <w:r>
        <w:t>Stakeholders include the Systems Engineer, service owner, and compliance lead for approvals.</w:t>
      </w:r>
    </w:p>
    <w:p>
      <w:pPr>
        <w:pStyle w:val="ListBullet"/>
      </w:pPr>
      <w:r>
        <w:t>Regional teams in EU follow the same policy with localized legal review.</w:t>
      </w:r>
    </w:p>
    <w:p>
      <w:pPr>
        <w:pStyle w:val="ListBullet"/>
      </w:pPr>
      <w:r>
        <w:t>Regional teams in EU follow the same policy with localized legal review.</w:t>
      </w:r>
    </w:p>
    <w:p>
      <w:pPr>
        <w:pStyle w:val="Heading1"/>
      </w:pPr>
      <w:r>
        <w:t>Backup and DR</w:t>
      </w:r>
    </w:p>
    <w:p>
      <w:r>
        <w:t>The Compliance team coordinates with Systems Engineer to maintain operational readiness. Evidence artifacts are retained in Slack for at least 36 months. We prioritize customer impact, data integrity, and regulatory alignment. Teams must log requests in Slack and track outcomes in ERP System for audit readiness.</w:t>
      </w:r>
    </w:p>
    <w:p>
      <w:r>
        <w:t>Evidence artifacts are retained in Slack for at least 36 months. Evidence artifacts are retained in Slack for at least 36 months.</w:t>
      </w:r>
    </w:p>
    <w:p>
      <w:pPr>
        <w:pStyle w:val="ListBullet"/>
      </w:pPr>
      <w:r>
        <w:t>All changes require peer review and validation in the ERP System before production promotion.</w:t>
      </w:r>
    </w:p>
    <w:p>
      <w:pPr>
        <w:pStyle w:val="ListBullet"/>
      </w:pPr>
      <w:r>
        <w:t>Teams must log requests in Slack and track outcomes in ERP System for audit readiness.</w:t>
      </w:r>
    </w:p>
    <w:p>
      <w:pPr>
        <w:pStyle w:val="ListBullet"/>
      </w:pPr>
      <w:r>
        <w:t>The process integrates with ERP System and depends on Kubernetes for telemetry signals.</w:t>
      </w:r>
    </w:p>
    <w:p>
      <w:pPr>
        <w:pStyle w:val="Heading1"/>
      </w:pPr>
      <w:r>
        <w:t>Cost Optimization</w:t>
      </w:r>
    </w:p>
    <w:p>
      <w:r>
        <w:t>All incidents are tagged with severity and mapped to service tiers. All incidents are tagged with severity and mapped to service tiers.</w:t>
      </w:r>
    </w:p>
    <w:p>
      <w:r>
        <w:t>Evidence artifacts are retained in Slack for at least 36 months. We prioritize customer impact, data integrity, and regulatory alignment.</w:t>
      </w:r>
    </w:p>
    <w:p>
      <w:pPr>
        <w:pStyle w:val="ListBullet"/>
      </w:pPr>
      <w:r>
        <w:t>Teams must log requests in Slack and track outcomes in ERP System for audit readiness.</w:t>
      </w:r>
    </w:p>
    <w:p>
      <w:pPr>
        <w:pStyle w:val="ListBullet"/>
      </w:pPr>
      <w:r>
        <w:t>Regional teams in EU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w:t>
            </w:r>
          </w:p>
        </w:tc>
        <w:tc>
          <w:tcPr>
            <w:tcW w:type="dxa" w:w="2880"/>
          </w:tcPr>
          <w:p>
            <w:r>
              <w:t>Planned</w:t>
            </w:r>
          </w:p>
        </w:tc>
      </w:tr>
      <w:tr>
        <w:tc>
          <w:tcPr>
            <w:tcW w:type="dxa" w:w="2880"/>
          </w:tcPr>
          <w:p>
            <w:r>
              <w:t>Access review</w:t>
            </w:r>
          </w:p>
        </w:tc>
        <w:tc>
          <w:tcPr>
            <w:tcW w:type="dxa" w:w="2880"/>
          </w:tcPr>
          <w:p>
            <w:r>
              <w:t>Compliance</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