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Compliance EU v2.1</w:t>
      </w:r>
    </w:p>
    <w:p>
      <w:r>
        <w:t>Department: Compliance</w:t>
      </w:r>
    </w:p>
    <w:p>
      <w:r>
        <w:t>Author: Taylor Lee</w:t>
      </w:r>
    </w:p>
    <w:p>
      <w:r>
        <w:t>Created date: 2024-02-24</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The process integrates with Identity Access Gateway and depends on Datadog for telemetry signals. Escalations should follow the on-call rotation with a response target of 15 minutes.</w:t>
      </w:r>
    </w:p>
    <w:p>
      <w:r>
        <w:t>The Compliance organization uses Datadog to enforce consistent service baselines. The Compliance organization uses Datadog to enforce consistent service baselines. Systems are monitored via Datadog and alert routing in Jira.</w:t>
      </w:r>
    </w:p>
    <w:p>
      <w:pPr>
        <w:pStyle w:val="ListBullet"/>
      </w:pPr>
      <w:r>
        <w:t>Audit sampling occurs monthly and is summarized in leadership dashboards.</w:t>
      </w:r>
    </w:p>
    <w:p>
      <w:pPr>
        <w:pStyle w:val="ListBullet"/>
      </w:pPr>
      <w:r>
        <w:t>Regional teams in EU follow the same policy with localized legal review.</w:t>
      </w:r>
    </w:p>
    <w:p>
      <w:pPr>
        <w:pStyle w:val="ListBullet"/>
      </w:pPr>
      <w:r>
        <w:t>Escalations should follow the on-call rotation with a response target of 15 minutes.</w:t>
      </w:r>
    </w:p>
    <w:p>
      <w:pPr>
        <w:pStyle w:val="ListBullet"/>
      </w:pPr>
      <w:r>
        <w:t>Regional teams in EU follow the same policy with localized legal review.</w:t>
      </w:r>
    </w:p>
    <w:p>
      <w:pPr>
        <w:pStyle w:val="ListBullet"/>
      </w:pPr>
      <w:r>
        <w:t>Evidence artifacts are retained in Jira for at least 18 months.</w:t>
      </w:r>
    </w:p>
    <w:p>
      <w:pPr>
        <w:pStyle w:val="Heading1"/>
      </w:pPr>
      <w:r>
        <w:t>Networking</w:t>
      </w:r>
    </w:p>
    <w:p>
      <w:r>
        <w:t>Teams must log requests in Jira and track outcomes in Identity Access Gateway for audit readiness. Stakeholders include the Product Manager, service owner, and compliance lead for approvals.</w:t>
      </w:r>
    </w:p>
    <w:p>
      <w:pPr>
        <w:pStyle w:val="ListBullet"/>
      </w:pPr>
      <w:r>
        <w:t>The process integrates with Identity Access Gateway and depends on Datadog for telemetry signals.</w:t>
      </w:r>
    </w:p>
    <w:p>
      <w:pPr>
        <w:pStyle w:val="ListBullet"/>
      </w:pPr>
      <w:r>
        <w:t>All changes require peer review and validation in the Identity Access Gateway before production promotion.</w:t>
      </w:r>
    </w:p>
    <w:p>
      <w:pPr>
        <w:pStyle w:val="ListBullet"/>
      </w:pPr>
      <w:r>
        <w:t>The Compliance organization uses Datadog to enforce consistent service baselines.</w:t>
      </w:r>
    </w:p>
    <w:p>
      <w:pPr>
        <w:pStyle w:val="ListBullet"/>
      </w:pPr>
      <w:r>
        <w:t>Regional teams in EU follow the same policy with localized legal review.</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Planned</w:t>
            </w:r>
          </w:p>
        </w:tc>
      </w:tr>
      <w:tr>
        <w:tc>
          <w:tcPr>
            <w:tcW w:type="dxa" w:w="2880"/>
          </w:tcPr>
          <w:p>
            <w:r>
              <w:t>Incident drill</w:t>
            </w:r>
          </w:p>
        </w:tc>
        <w:tc>
          <w:tcPr>
            <w:tcW w:type="dxa" w:w="2880"/>
          </w:tcPr>
          <w:p>
            <w:r>
              <w:t>Security</w:t>
            </w:r>
          </w:p>
        </w:tc>
        <w:tc>
          <w:tcPr>
            <w:tcW w:type="dxa" w:w="2880"/>
          </w:tcPr>
          <w:p>
            <w:r>
              <w:t>Planned</w:t>
            </w:r>
          </w:p>
        </w:tc>
      </w:tr>
      <w:tr>
        <w:tc>
          <w:tcPr>
            <w:tcW w:type="dxa" w:w="2880"/>
          </w:tcPr>
          <w:p>
            <w:r>
              <w:t>Incident drill</w:t>
            </w:r>
          </w:p>
        </w:tc>
        <w:tc>
          <w:tcPr>
            <w:tcW w:type="dxa" w:w="2880"/>
          </w:tcPr>
          <w:p>
            <w:r>
              <w:t>Security</w:t>
            </w:r>
          </w:p>
        </w:tc>
        <w:tc>
          <w:tcPr>
            <w:tcW w:type="dxa" w:w="2880"/>
          </w:tcPr>
          <w:p>
            <w:r>
              <w:t>Complete</w:t>
            </w:r>
          </w:p>
        </w:tc>
      </w:tr>
    </w:tbl>
    <w:p>
      <w:pPr>
        <w:pStyle w:val="Heading1"/>
      </w:pPr>
      <w:r>
        <w:t>Identity and Access</w:t>
      </w:r>
    </w:p>
    <w:p>
      <w:r>
        <w:t>Systems are monitored via Datadog and alert routing in Jira. Escalations should follow the on-call rotation with a response target of 15 minutes. Escalations should follow the on-call rotation with a response target of 15 minutes. We prioritize customer impact, data integrity, and regulatory alignment.</w:t>
      </w:r>
    </w:p>
    <w:p>
      <w:r>
        <w:t>Evidence artifacts are retained in Jira for at least 18 months. All changes require peer review and validation in the Identity Access Gateway before production promotion. Systems are monitored via Datadog and alert routing in Jira.</w:t>
      </w:r>
    </w:p>
    <w:p>
      <w:pPr>
        <w:pStyle w:val="ListBullet"/>
      </w:pPr>
      <w:r>
        <w:t>The Compliance team coordinates with Product Manager to maintain operational readiness.</w:t>
      </w:r>
    </w:p>
    <w:p>
      <w:pPr>
        <w:pStyle w:val="ListBullet"/>
      </w:pPr>
      <w:r>
        <w:t>This document aligns with SOX requirements and supports EU data residency expectations.</w:t>
      </w:r>
    </w:p>
    <w:p>
      <w:pPr>
        <w:pStyle w:val="ListBullet"/>
      </w:pPr>
      <w:r>
        <w:t>Evidence artifacts are retained in Jira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Planned</w:t>
            </w:r>
          </w:p>
        </w:tc>
      </w:tr>
      <w:tr>
        <w:tc>
          <w:tcPr>
            <w:tcW w:type="dxa" w:w="2880"/>
          </w:tcPr>
          <w:p>
            <w:r>
              <w:t>Vendor check</w:t>
            </w:r>
          </w:p>
        </w:tc>
        <w:tc>
          <w:tcPr>
            <w:tcW w:type="dxa" w:w="2880"/>
          </w:tcPr>
          <w:p>
            <w:r>
              <w:t>Product Manager</w:t>
            </w:r>
          </w:p>
        </w:tc>
        <w:tc>
          <w:tcPr>
            <w:tcW w:type="dxa" w:w="2880"/>
          </w:tcPr>
          <w:p>
            <w:r>
              <w:t>Planned</w:t>
            </w:r>
          </w:p>
        </w:tc>
      </w:tr>
      <w:tr>
        <w:tc>
          <w:tcPr>
            <w:tcW w:type="dxa" w:w="2880"/>
          </w:tcPr>
          <w:p>
            <w:r>
              <w:t>Backup validation</w:t>
            </w:r>
          </w:p>
        </w:tc>
        <w:tc>
          <w:tcPr>
            <w:tcW w:type="dxa" w:w="2880"/>
          </w:tcPr>
          <w:p>
            <w:r>
              <w:t>Operations</w:t>
            </w:r>
          </w:p>
        </w:tc>
        <w:tc>
          <w:tcPr>
            <w:tcW w:type="dxa" w:w="2880"/>
          </w:tcPr>
          <w:p>
            <w:r>
              <w:t>Complete</w:t>
            </w:r>
          </w:p>
        </w:tc>
      </w:tr>
    </w:tbl>
    <w:p>
      <w:pPr>
        <w:pStyle w:val="Heading1"/>
      </w:pPr>
      <w:r>
        <w:t>Backup and DR</w:t>
      </w:r>
    </w:p>
    <w:p>
      <w:r>
        <w:t>Audit sampling occurs monthly and is summarized in leadership dashboards. Systems are monitored via Datadog and alert routing in Jira. Stakeholders include the Product Manager, service owner, and compliance lead for approvals.</w:t>
      </w:r>
    </w:p>
    <w:p>
      <w:r>
        <w:t>Stakeholders include the Product Manager, service owner, and compliance lead for approvals. All changes require peer review and validation in the Identity Access Gateway before production promotion.</w:t>
      </w:r>
    </w:p>
    <w:p>
      <w:pPr>
        <w:pStyle w:val="ListBullet"/>
      </w:pPr>
      <w:r>
        <w:t>Teams must log requests in Jira and track outcomes in Identity Access Gateway for audit readiness.</w:t>
      </w:r>
    </w:p>
    <w:p>
      <w:pPr>
        <w:pStyle w:val="ListBullet"/>
      </w:pPr>
      <w:r>
        <w:t>The process integrates with Identity Access Gateway and depends on Datadog for telemetry signals.</w:t>
      </w:r>
    </w:p>
    <w:p>
      <w:pPr>
        <w:pStyle w:val="ListBullet"/>
      </w:pPr>
      <w:r>
        <w:t>Systems are monitored via Datadog and alert routing in Jira.</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Teams must log requests in Jira and track outcomes in Identity Access Gateway for audit readiness.</w:t>
      </w:r>
    </w:p>
    <w:p>
      <w:pPr>
        <w:pStyle w:val="Heading1"/>
      </w:pPr>
      <w:r>
        <w:t>Cost Optimization</w:t>
      </w:r>
    </w:p>
    <w:p>
      <w:r>
        <w:t>Evidence artifacts are retained in Jira for at least 18 months. Evidence artifacts are retained in Jira for at least 18 months.</w:t>
      </w:r>
    </w:p>
    <w:p>
      <w:r>
        <w:t>Risk acceptance must be documented and revalidated each quarter. The Compliance organization uses Datadog to enforce consistent service baselines. All incidents are tagged with severity and mapped to service tiers.</w:t>
      </w:r>
    </w:p>
    <w:p>
      <w:pPr>
        <w:pStyle w:val="ListBullet"/>
      </w:pPr>
      <w:r>
        <w:t>Systems are monitored via Datadog and alert routing in Jira.</w:t>
      </w:r>
    </w:p>
    <w:p>
      <w:pPr>
        <w:pStyle w:val="ListBullet"/>
      </w:pPr>
      <w:r>
        <w:t>All changes require peer review and validation in the Identity Access Gateway before production promotion.</w:t>
      </w:r>
    </w:p>
    <w:p>
      <w:pPr>
        <w:pStyle w:val="ListBullet"/>
      </w:pPr>
      <w:r>
        <w:t>Stakeholders include the Product Manager, service owner, and compliance lead for approvals.</w:t>
      </w:r>
    </w:p>
    <w:p>
      <w:pPr>
        <w:pStyle w:val="ListBullet"/>
      </w:pPr>
      <w:r>
        <w:t>The Compliance team coordinates with Product Manager to maintain operational readiness.</w:t>
      </w:r>
    </w:p>
    <w:p>
      <w:pPr>
        <w:pStyle w:val="ListBullet"/>
      </w:pPr>
      <w:r>
        <w:t>We prioritize customer impact, data integrity, and regulatory alignment.</w:t>
      </w:r>
    </w:p>
    <w:p>
      <w:pPr>
        <w:pStyle w:val="ListBullet"/>
      </w:pPr>
      <w:r>
        <w:t>Systems are monitored via Datadog and alert routing in Jira.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