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APAC v2.0</w:t>
      </w:r>
    </w:p>
    <w:p>
      <w:r>
        <w:t>Department: Customer Support</w:t>
      </w:r>
    </w:p>
    <w:p>
      <w:r>
        <w:t>Author: Jordan Lee</w:t>
      </w:r>
    </w:p>
    <w:p>
      <w:r>
        <w:t>Created date: 2025-01-03</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Audit sampling occurs monthly and is summarized in leadership dashboards. Risk acceptance must be documented and revalidated each quarter.</w:t>
      </w:r>
    </w:p>
    <w:p>
      <w:r>
        <w:t>The Customer Support organization uses Azure AD to enforce consistent service baselines. Regional teams in APAC follow the same policy with localized legal review. All changes require peer review and validation in the Ticketing Platform before production promotion. Teams must log requests in Workday and track outcomes in Ticketing Platform for audit readiness.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Regional teams in APAC follow the same policy with localized legal review.</w:t>
      </w:r>
    </w:p>
    <w:p>
      <w:pPr>
        <w:pStyle w:val="Heading1"/>
      </w:pPr>
      <w:r>
        <w:t>Networking</w:t>
      </w:r>
    </w:p>
    <w:p>
      <w:r>
        <w:t>Escalations should follow the on-call rotation with a response target of 30 minutes. Teams must log requests in Workday and track outcomes in Ticketing Platform for audit readiness. The process integrates with Ticketing Platform and depends on Azure AD for telemetry signals. This document aligns with HIPAA requirements and supports APAC data residency expectations.</w:t>
      </w:r>
    </w:p>
    <w:p>
      <w:r>
        <w:t>Regional teams in APAC follow the same policy with localized legal review. The Customer Support team coordinates with Support Specialist to maintain operational readiness. The Customer Support organization uses Azure AD to enforce consistent service baselines.</w:t>
      </w:r>
    </w:p>
    <w:p>
      <w:pPr>
        <w:pStyle w:val="ListBullet"/>
      </w:pPr>
      <w:r>
        <w:t>Teams must log requests in Workday and track outcomes in Ticketing Platform for audit readiness.</w:t>
      </w:r>
    </w:p>
    <w:p>
      <w:pPr>
        <w:pStyle w:val="ListBullet"/>
      </w:pPr>
      <w:r>
        <w:t>The Customer Support team coordinates with Support Specialist to maintain operational readiness.</w:t>
      </w:r>
    </w:p>
    <w:p>
      <w:pPr>
        <w:pStyle w:val="ListBullet"/>
      </w:pPr>
      <w:r>
        <w:t>Regional teams in APAC follow the same policy with localized legal review.</w:t>
      </w:r>
    </w:p>
    <w:p>
      <w:pPr>
        <w:pStyle w:val="ListBullet"/>
      </w:pPr>
      <w:r>
        <w:t>Teams must log requests in Workday and track outcomes in Ticketing Platform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Access review</w:t>
            </w:r>
          </w:p>
        </w:tc>
        <w:tc>
          <w:tcPr>
            <w:tcW w:type="dxa" w:w="2880"/>
          </w:tcPr>
          <w:p>
            <w:r>
              <w:t>Customer Support</w:t>
            </w:r>
          </w:p>
        </w:tc>
        <w:tc>
          <w:tcPr>
            <w:tcW w:type="dxa" w:w="2880"/>
          </w:tcPr>
          <w:p>
            <w:r>
              <w:t>Blocked</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Access review</w:t>
            </w:r>
          </w:p>
        </w:tc>
        <w:tc>
          <w:tcPr>
            <w:tcW w:type="dxa" w:w="2880"/>
          </w:tcPr>
          <w:p>
            <w:r>
              <w:t>Customer Support</w:t>
            </w:r>
          </w:p>
        </w:tc>
        <w:tc>
          <w:tcPr>
            <w:tcW w:type="dxa" w:w="2880"/>
          </w:tcPr>
          <w:p>
            <w:r>
              <w:t>In Progress</w:t>
            </w:r>
          </w:p>
        </w:tc>
      </w:tr>
    </w:tbl>
    <w:p>
      <w:pPr>
        <w:pStyle w:val="Heading1"/>
      </w:pPr>
      <w:r>
        <w:t>Identity and Access</w:t>
      </w:r>
    </w:p>
    <w:p>
      <w:r>
        <w:t>Teams must log requests in Workday and track outcomes in Ticketing Platform for audit readiness. Audit sampling occurs monthly and is summarized in leadership dashboards. The Customer Support team coordinates with Support Specialist to maintain operational readiness. All changes require peer review and validation in the Ticketing Platform before production promotion.</w:t>
      </w:r>
    </w:p>
    <w:p>
      <w:pPr>
        <w:pStyle w:val="ListBullet"/>
      </w:pPr>
      <w:r>
        <w:t>Teams must log requests in Workday and track outcomes in Ticketing Platform for audit readiness.</w:t>
      </w:r>
    </w:p>
    <w:p>
      <w:pPr>
        <w:pStyle w:val="ListBullet"/>
      </w:pPr>
      <w:r>
        <w:t>Escalations should follow the on-call rotation with a response target of 30 minutes.</w:t>
      </w:r>
    </w:p>
    <w:p>
      <w:pPr>
        <w:pStyle w:val="ListBullet"/>
      </w:pPr>
      <w:r>
        <w:t>The process integrates with Ticketing Platform and depends on Azure AD for telemetry signals.</w:t>
      </w:r>
    </w:p>
    <w:p>
      <w:pPr>
        <w:pStyle w:val="ListBullet"/>
      </w:pPr>
      <w:r>
        <w:t>This document aligns with HIPAA requirements and supports APAC data residency expectations.</w:t>
      </w:r>
    </w:p>
    <w:p>
      <w:pPr>
        <w:pStyle w:val="ListBullet"/>
      </w:pPr>
      <w:r>
        <w:t>This document aligns with HIPAA requirements and supports APAC data residency expectations.</w:t>
      </w:r>
    </w:p>
    <w:p>
      <w:pPr>
        <w:pStyle w:val="Heading1"/>
      </w:pPr>
      <w:r>
        <w:t>Backup and DR</w:t>
      </w:r>
    </w:p>
    <w:p>
      <w:r>
        <w:t>All incidents are tagged with severity and mapped to service tiers. Regional teams in APAC follow the same policy with localized legal review.</w:t>
      </w:r>
    </w:p>
    <w:p>
      <w:r>
        <w:t>All changes require peer review and validation in the Ticketing Platform before production promotion. Audit sampling occurs monthly and is summarized in leadership dashboards. The Customer Support organization uses Azure AD to enforce consistent service baselines. All changes require peer review and validation in the Ticketing Platform before production promotion.</w:t>
      </w:r>
    </w:p>
    <w:p>
      <w:pPr>
        <w:pStyle w:val="ListBullet"/>
      </w:pPr>
      <w:r>
        <w:t>This document aligns with HIPAA requirements and supports APAC data residency expectations.</w:t>
      </w:r>
    </w:p>
    <w:p>
      <w:pPr>
        <w:pStyle w:val="ListBullet"/>
      </w:pPr>
      <w:r>
        <w:t>The Customer Support organization uses Azure AD to enforce consistent service baselines.</w:t>
      </w:r>
    </w:p>
    <w:p>
      <w:pPr>
        <w:pStyle w:val="ListBullet"/>
      </w:pPr>
      <w:r>
        <w:t>The Customer Support organization uses Azure AD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Backup validation</w:t>
            </w:r>
          </w:p>
        </w:tc>
        <w:tc>
          <w:tcPr>
            <w:tcW w:type="dxa" w:w="2880"/>
          </w:tcPr>
          <w:p>
            <w:r>
              <w:t>Customer Support</w:t>
            </w:r>
          </w:p>
        </w:tc>
        <w:tc>
          <w:tcPr>
            <w:tcW w:type="dxa" w:w="2880"/>
          </w:tcPr>
          <w:p>
            <w:r>
              <w:t>Blocked</w:t>
            </w:r>
          </w:p>
        </w:tc>
      </w:tr>
      <w:tr>
        <w:tc>
          <w:tcPr>
            <w:tcW w:type="dxa" w:w="2880"/>
          </w:tcPr>
          <w:p>
            <w:r>
              <w:t>Vendor check</w:t>
            </w:r>
          </w:p>
        </w:tc>
        <w:tc>
          <w:tcPr>
            <w:tcW w:type="dxa" w:w="2880"/>
          </w:tcPr>
          <w:p>
            <w:r>
              <w:t>Customer Support</w:t>
            </w:r>
          </w:p>
        </w:tc>
        <w:tc>
          <w:tcPr>
            <w:tcW w:type="dxa" w:w="2880"/>
          </w:tcPr>
          <w:p>
            <w:r>
              <w:t>Complete</w:t>
            </w:r>
          </w:p>
        </w:tc>
      </w:tr>
      <w:tr>
        <w:tc>
          <w:tcPr>
            <w:tcW w:type="dxa" w:w="2880"/>
          </w:tcPr>
          <w:p>
            <w:r>
              <w:t>Vendor check</w:t>
            </w:r>
          </w:p>
        </w:tc>
        <w:tc>
          <w:tcPr>
            <w:tcW w:type="dxa" w:w="2880"/>
          </w:tcPr>
          <w:p>
            <w:r>
              <w:t>Customer Support</w:t>
            </w:r>
          </w:p>
        </w:tc>
        <w:tc>
          <w:tcPr>
            <w:tcW w:type="dxa" w:w="2880"/>
          </w:tcPr>
          <w:p>
            <w:r>
              <w:t>In Progress</w:t>
            </w:r>
          </w:p>
        </w:tc>
      </w:tr>
    </w:tbl>
    <w:p>
      <w:pPr>
        <w:pStyle w:val="Heading1"/>
      </w:pPr>
      <w:r>
        <w:t>Cost Optimization</w:t>
      </w:r>
    </w:p>
    <w:p>
      <w:r>
        <w:t>Systems are monitored via Azure AD and alert routing in Workday. The Customer Support organization uses Azure AD to enforce consistent service baselines. Stakeholders include the Support Specialist, service owner, and compliance lead for approvals. Systems are monitored via Azure AD and alert routing in Workday.</w:t>
      </w:r>
    </w:p>
    <w:p>
      <w:r>
        <w:t>All incidents are tagged with severity and mapped to service tiers. The process integrates with Ticketing Platform and depends on Azure AD for telemetry signals. Systems are monitored via Azure AD and alert routing in Workday.</w:t>
      </w:r>
    </w:p>
    <w:p>
      <w:pPr>
        <w:pStyle w:val="ListBullet"/>
      </w:pPr>
      <w:r>
        <w:t>This document aligns with HIPAA requirements and supports APAC data residency expectations.</w:t>
      </w:r>
    </w:p>
    <w:p>
      <w:pPr>
        <w:pStyle w:val="ListBullet"/>
      </w:pPr>
      <w:r>
        <w:t>Audit sampling occurs monthly and is summarized in leadership dashboards.</w:t>
      </w:r>
    </w:p>
    <w:p>
      <w:pPr>
        <w:pStyle w:val="ListBullet"/>
      </w:pPr>
      <w:r>
        <w:t>This document aligns with HIPAA requirements and supports APAC data residency expectations.</w:t>
      </w:r>
    </w:p>
    <w:p>
      <w:pPr>
        <w:pStyle w:val="ListBullet"/>
      </w:pPr>
      <w:r>
        <w:t>Stakeholders include the Support Specialist,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