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Customer Support EU v1.1</w:t>
      </w:r>
    </w:p>
    <w:p>
      <w:r>
        <w:t>Department: Customer Support</w:t>
      </w:r>
    </w:p>
    <w:p>
      <w:r>
        <w:t>Author: Jordan Nguyen</w:t>
      </w:r>
    </w:p>
    <w:p>
      <w:r>
        <w:t>Created date: 2025-12-09</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The Customer Support organization uses Prometheus to enforce consistent service baselines. Risk acceptance must be documented and revalidated each quarter. Audit sampling occurs monthly and is summarized in leadership dashboards.</w:t>
      </w:r>
    </w:p>
    <w:p>
      <w:r>
        <w:t>Stakeholders include the Product Manager, service owner, and compliance lead for approvals. The Customer Support team coordinates with Product Manager to maintain operational readiness. The process integrates with Identity Access Gateway and depends on Prometheus for telemetry signals. We prioritize customer impact, data integrity, and regulatory alignment.</w:t>
      </w:r>
    </w:p>
    <w:p>
      <w:pPr>
        <w:pStyle w:val="ListBullet"/>
      </w:pPr>
      <w:r>
        <w:t>All changes require peer review and validation in the Identity Access Gateway before production promotion.</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This document aligns with SOX requirements and supports EU data residency expectations.</w:t>
      </w:r>
    </w:p>
    <w:p>
      <w:pPr>
        <w:pStyle w:val="Heading1"/>
      </w:pPr>
      <w:r>
        <w:t>Networking</w:t>
      </w:r>
    </w:p>
    <w:p>
      <w:r>
        <w:t>All changes require peer review and validation in the Identity Access Gateway before production promotion. Escalations should follow the on-call rotation with a response target of 60 minutes.</w:t>
      </w:r>
    </w:p>
    <w:p>
      <w:pPr>
        <w:pStyle w:val="ListBullet"/>
      </w:pPr>
      <w:r>
        <w:t>Evidence artifacts are retained in Slack for at least 12 months.</w:t>
      </w:r>
    </w:p>
    <w:p>
      <w:pPr>
        <w:pStyle w:val="ListBullet"/>
      </w:pPr>
      <w:r>
        <w:t>This document aligns with SOX requirements and supports EU data residency expectations.</w:t>
      </w:r>
    </w:p>
    <w:p>
      <w:pPr>
        <w:pStyle w:val="ListBullet"/>
      </w:pPr>
      <w:r>
        <w:t>Evidence artifacts are retained in Slack for at least 12 months.</w:t>
      </w:r>
    </w:p>
    <w:p>
      <w:pPr>
        <w:pStyle w:val="ListBullet"/>
      </w:pPr>
      <w:r>
        <w:t>Stakeholders include the Product Manager, service owner, and compliance lead for approvals.</w:t>
      </w:r>
    </w:p>
    <w:p>
      <w:pPr>
        <w:pStyle w:val="Heading1"/>
      </w:pPr>
      <w:r>
        <w:t>Identity and Access</w:t>
      </w:r>
    </w:p>
    <w:p>
      <w:r>
        <w:t>Systems are monitored via Prometheus and alert routing in Slack. Regional teams in EU follow the same policy with localized legal review. The Customer Support team coordinates with Product Manager to maintain operational readiness. The Customer Support team coordinates with Product Manager to maintain operational readiness.</w:t>
      </w:r>
    </w:p>
    <w:p>
      <w:r>
        <w:t>Audit sampling occurs monthly and is summarized in leadership dashboards. Evidence artifacts are retained in Slack for at least 12 months. Teams must log requests in Slack and track outcomes in Identity Access Gateway for audit readiness.</w:t>
      </w:r>
    </w:p>
    <w:p>
      <w:pPr>
        <w:pStyle w:val="ListBullet"/>
      </w:pPr>
      <w:r>
        <w:t>Regional teams in EU follow the same policy with localized legal review.</w:t>
      </w:r>
    </w:p>
    <w:p>
      <w:pPr>
        <w:pStyle w:val="ListBullet"/>
      </w:pPr>
      <w:r>
        <w:t>This document aligns with SOX requirements and supports EU data residency expectations.</w:t>
      </w:r>
    </w:p>
    <w:p>
      <w:pPr>
        <w:pStyle w:val="ListBullet"/>
      </w:pPr>
      <w:r>
        <w:t>The process integrates with Identity Access Gateway and depends on Prometheus for telemetry signals.</w:t>
      </w:r>
    </w:p>
    <w:p>
      <w:pPr>
        <w:pStyle w:val="ListBullet"/>
      </w:pPr>
      <w:r>
        <w:t>All incidents are tagged with severity and mapped to service tiers.</w:t>
      </w:r>
    </w:p>
    <w:p>
      <w:pPr>
        <w:pStyle w:val="Heading1"/>
      </w:pPr>
      <w:r>
        <w:t>Backup and DR</w:t>
      </w:r>
    </w:p>
    <w:p>
      <w:r>
        <w:t>All changes require peer review and validation in the Identity Access Gateway before production promotion. The Customer Support organization uses Prometheus to enforce consistent service baselines. Stakeholders include the Product Manager, service owner, and compliance lead for approvals. Evidence artifacts are retained in Slack for at least 12 months.</w:t>
      </w:r>
    </w:p>
    <w:p>
      <w:pPr>
        <w:pStyle w:val="ListBullet"/>
      </w:pPr>
      <w:r>
        <w:t>Teams must log requests in Slack and track outcomes in Identity Access Gateway for audit readiness.</w:t>
      </w:r>
    </w:p>
    <w:p>
      <w:pPr>
        <w:pStyle w:val="ListBullet"/>
      </w:pPr>
      <w:r>
        <w:t>The Customer Support organization uses Prometheus to enforce consistent service baselines.</w:t>
      </w:r>
    </w:p>
    <w:p>
      <w:pPr>
        <w:pStyle w:val="ListBullet"/>
      </w:pPr>
      <w:r>
        <w:t>Escalations should follow the on-call rotation with a response target of 60 minutes.</w:t>
      </w:r>
    </w:p>
    <w:p>
      <w:pPr>
        <w:pStyle w:val="ListBullet"/>
      </w:pPr>
      <w:r>
        <w:t>Evidence artifacts are retained in Slack for at least 12 months.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Product Manager</w:t>
            </w:r>
          </w:p>
        </w:tc>
        <w:tc>
          <w:tcPr>
            <w:tcW w:type="dxa" w:w="2880"/>
          </w:tcPr>
          <w:p>
            <w:r>
              <w:t>In Progress</w:t>
            </w:r>
          </w:p>
        </w:tc>
      </w:tr>
      <w:tr>
        <w:tc>
          <w:tcPr>
            <w:tcW w:type="dxa" w:w="2880"/>
          </w:tcPr>
          <w:p>
            <w:r>
              <w:t>Access review</w:t>
            </w:r>
          </w:p>
        </w:tc>
        <w:tc>
          <w:tcPr>
            <w:tcW w:type="dxa" w:w="2880"/>
          </w:tcPr>
          <w:p>
            <w:r>
              <w:t>Security</w:t>
            </w:r>
          </w:p>
        </w:tc>
        <w:tc>
          <w:tcPr>
            <w:tcW w:type="dxa" w:w="2880"/>
          </w:tcPr>
          <w:p>
            <w:r>
              <w:t>Complete</w:t>
            </w:r>
          </w:p>
        </w:tc>
      </w:tr>
    </w:tbl>
    <w:p>
      <w:pPr>
        <w:pStyle w:val="Heading1"/>
      </w:pPr>
      <w:r>
        <w:t>Cost Optimization</w:t>
      </w:r>
    </w:p>
    <w:p>
      <w:r>
        <w:t>Regional teams in EU follow the same policy with localized legal review. Teams must log requests in Slack and track outcomes in Identity Access Gateway for audit readiness. All changes require peer review and validation in the Identity Access Gateway before production promotion.</w:t>
      </w:r>
    </w:p>
    <w:p>
      <w:pPr>
        <w:pStyle w:val="ListBullet"/>
      </w:pPr>
      <w:r>
        <w:t>All incidents are tagged with severity and mapped to service tiers.</w:t>
      </w:r>
    </w:p>
    <w:p>
      <w:pPr>
        <w:pStyle w:val="ListBullet"/>
      </w:pPr>
      <w:r>
        <w:t>Stakeholders include the Product Manager, service owner, and compliance lead for approvals.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Access review</w:t>
            </w:r>
          </w:p>
        </w:tc>
        <w:tc>
          <w:tcPr>
            <w:tcW w:type="dxa" w:w="2880"/>
          </w:tcPr>
          <w:p>
            <w:r>
              <w:t>Customer Support</w:t>
            </w:r>
          </w:p>
        </w:tc>
        <w:tc>
          <w:tcPr>
            <w:tcW w:type="dxa" w:w="2880"/>
          </w:tcPr>
          <w:p>
            <w:r>
              <w:t>Blocked</w:t>
            </w:r>
          </w:p>
        </w:tc>
      </w:tr>
      <w:tr>
        <w:tc>
          <w:tcPr>
            <w:tcW w:type="dxa" w:w="2880"/>
          </w:tcPr>
          <w:p>
            <w:r>
              <w:t>Patch window</w:t>
            </w:r>
          </w:p>
        </w:tc>
        <w:tc>
          <w:tcPr>
            <w:tcW w:type="dxa" w:w="2880"/>
          </w:tcPr>
          <w:p>
            <w:r>
              <w:t>Security</w:t>
            </w:r>
          </w:p>
        </w:tc>
        <w:tc>
          <w:tcPr>
            <w:tcW w:type="dxa" w:w="2880"/>
          </w:tcPr>
          <w:p>
            <w:r>
              <w:t>Complete</w:t>
            </w:r>
          </w:p>
        </w:tc>
      </w:tr>
      <w:tr>
        <w:tc>
          <w:tcPr>
            <w:tcW w:type="dxa" w:w="2880"/>
          </w:tcPr>
          <w:p>
            <w:r>
              <w:t>Patch window</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