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 Infrastructure Guides - Customer Support EU v1.1</w:t>
      </w:r>
    </w:p>
    <w:p>
      <w:r>
        <w:t>Department: Customer Support</w:t>
      </w:r>
    </w:p>
    <w:p>
      <w:r>
        <w:t>Author: Morgan Garcia</w:t>
      </w:r>
    </w:p>
    <w:p>
      <w:r>
        <w:t>Created date: 2024-09-21</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Architecture Overview</w:t>
      </w:r>
    </w:p>
    <w:p>
      <w:r>
        <w:t>Regional teams in EU follow the same policy with localized legal review. Teams must log requests in Workday and track outcomes in Document Repository for audit readiness. Evidence artifacts are retained in Workday for at least 12 months.</w:t>
      </w:r>
    </w:p>
    <w:p>
      <w:pPr>
        <w:pStyle w:val="ListBullet"/>
      </w:pPr>
      <w:r>
        <w:t>Risk acceptance must be documented and revalidated each quarter.</w:t>
      </w:r>
    </w:p>
    <w:p>
      <w:pPr>
        <w:pStyle w:val="ListBullet"/>
      </w:pPr>
      <w:r>
        <w:t>The Customer Support organization uses Datadog to enforce consistent service baselines.</w:t>
      </w:r>
    </w:p>
    <w:p>
      <w:pPr>
        <w:pStyle w:val="ListBullet"/>
      </w:pPr>
      <w:r>
        <w:t>The Customer Support organization uses Datadog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Access review</w:t>
            </w:r>
          </w:p>
        </w:tc>
        <w:tc>
          <w:tcPr>
            <w:tcW w:type="dxa" w:w="2880"/>
          </w:tcPr>
          <w:p>
            <w:r>
              <w:t>Security</w:t>
            </w:r>
          </w:p>
        </w:tc>
        <w:tc>
          <w:tcPr>
            <w:tcW w:type="dxa" w:w="2880"/>
          </w:tcPr>
          <w:p>
            <w:r>
              <w:t>Planned</w:t>
            </w:r>
          </w:p>
        </w:tc>
      </w:tr>
    </w:tbl>
    <w:p>
      <w:pPr>
        <w:pStyle w:val="Heading1"/>
      </w:pPr>
      <w:r>
        <w:t>Networking</w:t>
      </w:r>
    </w:p>
    <w:p>
      <w:r>
        <w:t>Evidence artifacts are retained in Workday for at least 12 months. All incidents are tagged with severity and mapped to service tiers.</w:t>
      </w:r>
    </w:p>
    <w:p>
      <w:r>
        <w:t>The process integrates with Document Repository and depends on Datadog for telemetry signals. All incidents are tagged with severity and mapped to service tiers. The Customer Support team coordinates with Finance Analyst to maintain operational readiness.</w:t>
      </w:r>
    </w:p>
    <w:p>
      <w:pPr>
        <w:pStyle w:val="ListBullet"/>
      </w:pPr>
      <w:r>
        <w:t>The Customer Support organization uses Datadog to enforce consistent service baselines.</w:t>
      </w:r>
    </w:p>
    <w:p>
      <w:pPr>
        <w:pStyle w:val="ListBullet"/>
      </w:pPr>
      <w:r>
        <w:t>The process integrates with Document Repository and depends on Datadog for telemetry signals.</w:t>
      </w:r>
    </w:p>
    <w:p>
      <w:pPr>
        <w:pStyle w:val="ListBullet"/>
      </w:pPr>
      <w:r>
        <w:t>All changes require peer review and validation in the Document Repository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Customer Support</w:t>
            </w:r>
          </w:p>
        </w:tc>
        <w:tc>
          <w:tcPr>
            <w:tcW w:type="dxa" w:w="2880"/>
          </w:tcPr>
          <w:p>
            <w:r>
              <w:t>Planned</w:t>
            </w:r>
          </w:p>
        </w:tc>
      </w:tr>
      <w:tr>
        <w:tc>
          <w:tcPr>
            <w:tcW w:type="dxa" w:w="2880"/>
          </w:tcPr>
          <w:p>
            <w:r>
              <w:t>Patch window</w:t>
            </w:r>
          </w:p>
        </w:tc>
        <w:tc>
          <w:tcPr>
            <w:tcW w:type="dxa" w:w="2880"/>
          </w:tcPr>
          <w:p>
            <w:r>
              <w:t>Finance Analyst</w:t>
            </w:r>
          </w:p>
        </w:tc>
        <w:tc>
          <w:tcPr>
            <w:tcW w:type="dxa" w:w="2880"/>
          </w:tcPr>
          <w:p>
            <w:r>
              <w:t>Blocked</w:t>
            </w:r>
          </w:p>
        </w:tc>
      </w:tr>
      <w:tr>
        <w:tc>
          <w:tcPr>
            <w:tcW w:type="dxa" w:w="2880"/>
          </w:tcPr>
          <w:p>
            <w:r>
              <w:t>Backup validation</w:t>
            </w:r>
          </w:p>
        </w:tc>
        <w:tc>
          <w:tcPr>
            <w:tcW w:type="dxa" w:w="2880"/>
          </w:tcPr>
          <w:p>
            <w:r>
              <w:t>Finance Analyst</w:t>
            </w:r>
          </w:p>
        </w:tc>
        <w:tc>
          <w:tcPr>
            <w:tcW w:type="dxa" w:w="2880"/>
          </w:tcPr>
          <w:p>
            <w:r>
              <w:t>Complete</w:t>
            </w:r>
          </w:p>
        </w:tc>
      </w:tr>
    </w:tbl>
    <w:p>
      <w:pPr>
        <w:pStyle w:val="Heading1"/>
      </w:pPr>
      <w:r>
        <w:t>Identity and Access</w:t>
      </w:r>
    </w:p>
    <w:p>
      <w:r>
        <w:t>The Customer Support team coordinates with Finance Analyst to maintain operational readiness. Escalations should follow the on-call rotation with a response target of 60 minutes. All changes require peer review and validation in the Document Repository before production promotion. The process integrates with Document Repository and depends on Datadog for telemetry signals.</w:t>
      </w:r>
    </w:p>
    <w:p>
      <w:r>
        <w:t>Systems are monitored via Datadog and alert routing in Workday. Audit sampling occurs monthly and is summarized in leadership dashboards.</w:t>
      </w:r>
    </w:p>
    <w:p>
      <w:pPr>
        <w:pStyle w:val="ListBullet"/>
      </w:pPr>
      <w:r>
        <w:t>Escalations should follow the on-call rotation with a response target of 60 minutes.</w:t>
      </w:r>
    </w:p>
    <w:p>
      <w:pPr>
        <w:pStyle w:val="ListBullet"/>
      </w:pPr>
      <w:r>
        <w:t>Risk acceptance must be documented and revalidated each quarter.</w:t>
      </w:r>
    </w:p>
    <w:p>
      <w:pPr>
        <w:pStyle w:val="ListBullet"/>
      </w:pPr>
      <w:r>
        <w:t>Systems are monitored via Datadog and alert routing in Workday.</w:t>
      </w:r>
    </w:p>
    <w:p>
      <w:pPr>
        <w:pStyle w:val="Heading1"/>
      </w:pPr>
      <w:r>
        <w:t>Backup and DR</w:t>
      </w:r>
    </w:p>
    <w:p>
      <w:r>
        <w:t>The process integrates with Document Repository and depends on Datadog for telemetry signals. The Customer Support team coordinates with Finance Analyst to maintain operational readiness.</w:t>
      </w:r>
    </w:p>
    <w:p>
      <w:pPr>
        <w:pStyle w:val="ListBullet"/>
      </w:pPr>
      <w:r>
        <w:t>Escalations should follow the on-call rotation with a response target of 60 minutes.</w:t>
      </w:r>
    </w:p>
    <w:p>
      <w:pPr>
        <w:pStyle w:val="ListBullet"/>
      </w:pPr>
      <w:r>
        <w:t>Escalations should follow the on-call rotation with a response target of 60 minutes.</w:t>
      </w:r>
    </w:p>
    <w:p>
      <w:pPr>
        <w:pStyle w:val="ListBullet"/>
      </w:pPr>
      <w:r>
        <w:t>Audit sampling occurs monthly and is summarized in leadership dashboards.</w:t>
      </w:r>
    </w:p>
    <w:p>
      <w:pPr>
        <w:pStyle w:val="Heading1"/>
      </w:pPr>
      <w:r>
        <w:t>Cost Optimization</w:t>
      </w:r>
    </w:p>
    <w:p>
      <w:r>
        <w:t>Regional teams in EU follow the same policy with localized legal review. All incidents are tagged with severity and mapped to service tiers. The Customer Support organization uses Datadog to enforce consistent service baselines. Escalations should follow the on-call rotation with a response target of 60 minutes.</w:t>
      </w:r>
    </w:p>
    <w:p>
      <w:pPr>
        <w:pStyle w:val="ListBullet"/>
      </w:pPr>
      <w:r>
        <w:t>Systems are monitored via Datadog and alert routing in Workday.</w:t>
      </w:r>
    </w:p>
    <w:p>
      <w:pPr>
        <w:pStyle w:val="ListBullet"/>
      </w:pPr>
      <w:r>
        <w:t>This document aligns with SOX requirements and supports EU data residency expectations.</w:t>
      </w:r>
    </w:p>
    <w:p>
      <w:pPr>
        <w:pStyle w:val="ListBullet"/>
      </w:pPr>
      <w:r>
        <w:t>Regional teams in EU follow the same policy with localized legal review.</w:t>
      </w:r>
    </w:p>
    <w:p>
      <w:pPr>
        <w:pStyle w:val="ListBullet"/>
      </w:pPr>
      <w:r>
        <w:t>All changes require peer review and validation in the Document Repository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