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 Infrastructure Guides - Data Platform APAC v1.1</w:t>
      </w:r>
    </w:p>
    <w:p>
      <w:r>
        <w:t>Department: Data Platform</w:t>
      </w:r>
    </w:p>
    <w:p>
      <w:r>
        <w:t>Author: Avery Smith</w:t>
      </w:r>
    </w:p>
    <w:p>
      <w:r>
        <w:t>Created date: 2026-03-10</w:t>
      </w:r>
    </w:p>
    <w:p>
      <w:r>
        <w:t>Region: APAC</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Architecture Overview</w:t>
      </w:r>
    </w:p>
    <w:p>
      <w:r>
        <w:t>Regional teams in APAC follow the same policy with localized legal review. We prioritize customer impact, data integrity, and regulatory alignment.</w:t>
      </w:r>
    </w:p>
    <w:p>
      <w:r>
        <w:t>Evidence artifacts are retained in Salesforce for at least 18 months. Evidence artifacts are retained in Salesforce for at least 18 months.</w:t>
      </w:r>
    </w:p>
    <w:p>
      <w:pPr>
        <w:pStyle w:val="ListBullet"/>
      </w:pPr>
      <w:r>
        <w:t>This document aligns with ISO 27001 requirements and supports APAC data residency expectations.</w:t>
      </w:r>
    </w:p>
    <w:p>
      <w:pPr>
        <w:pStyle w:val="ListBullet"/>
      </w:pPr>
      <w:r>
        <w:t>We prioritize customer impact, data integrity, and regulatory alignment.</w:t>
      </w:r>
    </w:p>
    <w:p>
      <w:pPr>
        <w:pStyle w:val="ListBullet"/>
      </w:pPr>
      <w:r>
        <w:t>Escalations should follow the on-call rotation with a response target of 30 minutes.</w:t>
      </w:r>
    </w:p>
    <w:p>
      <w:pPr>
        <w:pStyle w:val="ListBullet"/>
      </w:pPr>
      <w:r>
        <w:t>This document aligns with ISO 27001 requirements and supports APAC data residency expectations.</w:t>
      </w:r>
    </w:p>
    <w:p>
      <w:pPr>
        <w:pStyle w:val="Heading1"/>
      </w:pPr>
      <w:r>
        <w:t>Networking</w:t>
      </w:r>
    </w:p>
    <w:p>
      <w:r>
        <w:t>This document aligns with ISO 27001 requirements and supports APAC data residency expectations. All changes require peer review and validation in the Identity Access Gateway before production promotion. Systems are monitored via Kafka and alert routing in Salesforce. Risk acceptance must be documented and revalidated each quarter.</w:t>
      </w:r>
    </w:p>
    <w:p>
      <w:r>
        <w:t>Stakeholders include the Procurement Lead, service owner, and compliance lead for approvals. Regional teams in APAC follow the same policy with localized legal review. Stakeholders include the Procurement Lead, service owner, and compliance lead for approvals. Evidence artifacts are retained in Salesforce for at least 18 months.</w:t>
      </w:r>
    </w:p>
    <w:p>
      <w:pPr>
        <w:pStyle w:val="ListBullet"/>
      </w:pPr>
      <w:r>
        <w:t>Regional teams in APAC follow the same policy with localized legal review.</w:t>
      </w:r>
    </w:p>
    <w:p>
      <w:pPr>
        <w:pStyle w:val="ListBullet"/>
      </w:pPr>
      <w:r>
        <w:t>All incidents are tagged with severity and mapped to service tiers.</w:t>
      </w:r>
    </w:p>
    <w:p>
      <w:pPr>
        <w:pStyle w:val="ListBullet"/>
      </w:pPr>
      <w:r>
        <w:t>Escalations should follow the on-call rotation with a response target of 30 minutes.</w:t>
      </w:r>
    </w:p>
    <w:p>
      <w:pPr>
        <w:pStyle w:val="ListBullet"/>
      </w:pPr>
      <w:r>
        <w:t>Regional teams in APAC follow the same policy with localized legal review.</w:t>
      </w:r>
    </w:p>
    <w:p>
      <w:pPr>
        <w:pStyle w:val="ListBullet"/>
      </w:pPr>
      <w:r>
        <w:t>The process integrates with Identity Access Gateway and depends on Kafka for telemetry signals.</w:t>
      </w:r>
    </w:p>
    <w:p>
      <w:pPr>
        <w:pStyle w:val="ListBullet"/>
      </w:pPr>
      <w:r>
        <w:t>Regional teams in APAC follow the same policy with localized legal review.</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Security</w:t>
            </w:r>
          </w:p>
        </w:tc>
        <w:tc>
          <w:tcPr>
            <w:tcW w:type="dxa" w:w="2880"/>
          </w:tcPr>
          <w:p>
            <w:r>
              <w:t>Blocked</w:t>
            </w:r>
          </w:p>
        </w:tc>
      </w:tr>
      <w:tr>
        <w:tc>
          <w:tcPr>
            <w:tcW w:type="dxa" w:w="2880"/>
          </w:tcPr>
          <w:p>
            <w:r>
              <w:t>Vendor check</w:t>
            </w:r>
          </w:p>
        </w:tc>
        <w:tc>
          <w:tcPr>
            <w:tcW w:type="dxa" w:w="2880"/>
          </w:tcPr>
          <w:p>
            <w:r>
              <w:t>Operations</w:t>
            </w:r>
          </w:p>
        </w:tc>
        <w:tc>
          <w:tcPr>
            <w:tcW w:type="dxa" w:w="2880"/>
          </w:tcPr>
          <w:p>
            <w:r>
              <w:t>Complete</w:t>
            </w:r>
          </w:p>
        </w:tc>
      </w:tr>
      <w:tr>
        <w:tc>
          <w:tcPr>
            <w:tcW w:type="dxa" w:w="2880"/>
          </w:tcPr>
          <w:p>
            <w:r>
              <w:t>Access review</w:t>
            </w:r>
          </w:p>
        </w:tc>
        <w:tc>
          <w:tcPr>
            <w:tcW w:type="dxa" w:w="2880"/>
          </w:tcPr>
          <w:p>
            <w:r>
              <w:t>Procurement Lead</w:t>
            </w:r>
          </w:p>
        </w:tc>
        <w:tc>
          <w:tcPr>
            <w:tcW w:type="dxa" w:w="2880"/>
          </w:tcPr>
          <w:p>
            <w:r>
              <w:t>Complete</w:t>
            </w:r>
          </w:p>
        </w:tc>
      </w:tr>
      <w:tr>
        <w:tc>
          <w:tcPr>
            <w:tcW w:type="dxa" w:w="2880"/>
          </w:tcPr>
          <w:p>
            <w:r>
              <w:t>Backup validation</w:t>
            </w:r>
          </w:p>
        </w:tc>
        <w:tc>
          <w:tcPr>
            <w:tcW w:type="dxa" w:w="2880"/>
          </w:tcPr>
          <w:p>
            <w:r>
              <w:t>Procurement Lead</w:t>
            </w:r>
          </w:p>
        </w:tc>
        <w:tc>
          <w:tcPr>
            <w:tcW w:type="dxa" w:w="2880"/>
          </w:tcPr>
          <w:p>
            <w:r>
              <w:t>Complete</w:t>
            </w:r>
          </w:p>
        </w:tc>
      </w:tr>
    </w:tbl>
    <w:p>
      <w:pPr>
        <w:pStyle w:val="Heading1"/>
      </w:pPr>
      <w:r>
        <w:t>Identity and Access</w:t>
      </w:r>
    </w:p>
    <w:p>
      <w:r>
        <w:t>The Data Platform team coordinates with Procurement Lead to maintain operational readiness. The Data Platform organization uses Kafka to enforce consistent service baselines. Risk acceptance must be documented and revalidated each quarter.</w:t>
      </w:r>
    </w:p>
    <w:p>
      <w:r>
        <w:t>Audit sampling occurs monthly and is summarized in leadership dashboards. Stakeholders include the Procurement Lead, service owner, and compliance lead for approvals.</w:t>
      </w:r>
    </w:p>
    <w:p>
      <w:pPr>
        <w:pStyle w:val="ListBullet"/>
      </w:pPr>
      <w:r>
        <w:t>Systems are monitored via Kafka and alert routing in Salesforce.</w:t>
      </w:r>
    </w:p>
    <w:p>
      <w:pPr>
        <w:pStyle w:val="ListBullet"/>
      </w:pPr>
      <w:r>
        <w:t>The Data Platform team coordinates with Procurement Lead to maintain operational readiness.</w:t>
      </w:r>
    </w:p>
    <w:p>
      <w:pPr>
        <w:pStyle w:val="ListBullet"/>
      </w:pPr>
      <w:r>
        <w:t>All incidents are tagged with severity and mapped to service tiers.</w:t>
      </w:r>
    </w:p>
    <w:p>
      <w:pPr>
        <w:pStyle w:val="Heading1"/>
      </w:pPr>
      <w:r>
        <w:t>Backup and DR</w:t>
      </w:r>
    </w:p>
    <w:p>
      <w:r>
        <w:t>Escalations should follow the on-call rotation with a response target of 30 minutes. All changes require peer review and validation in the Identity Access Gateway before production promotion. All incidents are tagged with severity and mapped to service tiers.</w:t>
      </w:r>
    </w:p>
    <w:p>
      <w:r>
        <w:t>Risk acceptance must be documented and revalidated each quarter. Escalations should follow the on-call rotation with a response target of 30 minutes. The Data Platform team coordinates with Procurement Lead to maintain operational readiness. Teams must log requests in Salesforce and track outcomes in Identity Access Gateway for audit readiness.</w:t>
      </w:r>
    </w:p>
    <w:p>
      <w:pPr>
        <w:pStyle w:val="ListBullet"/>
      </w:pPr>
      <w:r>
        <w:t>Risk acceptance must be documented and revalidated each quarter.</w:t>
      </w:r>
    </w:p>
    <w:p>
      <w:pPr>
        <w:pStyle w:val="ListBullet"/>
      </w:pPr>
      <w:r>
        <w:t>The Data Platform team coordinates with Procurement Lead to maintain operational readiness.</w:t>
      </w:r>
    </w:p>
    <w:p>
      <w:pPr>
        <w:pStyle w:val="ListBullet"/>
      </w:pPr>
      <w:r>
        <w:t>All incidents are tagged with severity and mapped to service tiers.</w:t>
      </w:r>
    </w:p>
    <w:p>
      <w:pPr>
        <w:pStyle w:val="ListBullet"/>
      </w:pPr>
      <w:r>
        <w:t>Risk acceptance must be documented and revalidated each quarter.</w:t>
      </w:r>
    </w:p>
    <w:p>
      <w:pPr>
        <w:pStyle w:val="ListBullet"/>
      </w:pPr>
      <w:r>
        <w:t>All incidents are tagged with severity and mapped to service tiers.</w:t>
      </w:r>
    </w:p>
    <w:p>
      <w:pPr>
        <w:pStyle w:val="Heading1"/>
      </w:pPr>
      <w:r>
        <w:t>Cost Optimization</w:t>
      </w:r>
    </w:p>
    <w:p>
      <w:r>
        <w:t>The process integrates with Identity Access Gateway and depends on Kafka for telemetry signals. The Data Platform team coordinates with Procurement Lead to maintain operational readiness. Evidence artifacts are retained in Salesforce for at least 18 months.</w:t>
      </w:r>
    </w:p>
    <w:p>
      <w:pPr>
        <w:pStyle w:val="ListBullet"/>
      </w:pPr>
      <w:r>
        <w:t>The Data Platform organization uses Kafka to enforce consistent service baselines.</w:t>
      </w:r>
    </w:p>
    <w:p>
      <w:pPr>
        <w:pStyle w:val="ListBullet"/>
      </w:pPr>
      <w:r>
        <w:t>Evidence artifacts are retained in Salesforce for at least 18 months.</w:t>
      </w:r>
    </w:p>
    <w:p>
      <w:pPr>
        <w:pStyle w:val="ListBullet"/>
      </w:pPr>
      <w:r>
        <w:t>The Data Platform organization uses Kafka to enforce consistent service baselines.</w:t>
      </w:r>
    </w:p>
    <w:p>
      <w:pPr>
        <w:pStyle w:val="ListBullet"/>
      </w:pPr>
      <w:r>
        <w:t>Systems are monitored via Kafka and alert routing in Salesforce.</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Operations</w:t>
            </w:r>
          </w:p>
        </w:tc>
        <w:tc>
          <w:tcPr>
            <w:tcW w:type="dxa" w:w="2880"/>
          </w:tcPr>
          <w:p>
            <w:r>
              <w:t>Planned</w:t>
            </w:r>
          </w:p>
        </w:tc>
      </w:tr>
      <w:tr>
        <w:tc>
          <w:tcPr>
            <w:tcW w:type="dxa" w:w="2880"/>
          </w:tcPr>
          <w:p>
            <w:r>
              <w:t>Vendor check</w:t>
            </w:r>
          </w:p>
        </w:tc>
        <w:tc>
          <w:tcPr>
            <w:tcW w:type="dxa" w:w="2880"/>
          </w:tcPr>
          <w:p>
            <w:r>
              <w:t>Security</w:t>
            </w:r>
          </w:p>
        </w:tc>
        <w:tc>
          <w:tcPr>
            <w:tcW w:type="dxa" w:w="2880"/>
          </w:tcPr>
          <w:p>
            <w:r>
              <w:t>Blocked</w:t>
            </w:r>
          </w:p>
        </w:tc>
      </w:tr>
      <w:tr>
        <w:tc>
          <w:tcPr>
            <w:tcW w:type="dxa" w:w="2880"/>
          </w:tcPr>
          <w:p>
            <w:r>
              <w:t>Incident drill</w:t>
            </w:r>
          </w:p>
        </w:tc>
        <w:tc>
          <w:tcPr>
            <w:tcW w:type="dxa" w:w="2880"/>
          </w:tcPr>
          <w:p>
            <w:r>
              <w:t>Security</w:t>
            </w:r>
          </w:p>
        </w:tc>
        <w:tc>
          <w:tcPr>
            <w:tcW w:type="dxa" w:w="2880"/>
          </w:tcPr>
          <w:p>
            <w:r>
              <w:t>Blocked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