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Data Platform EU v2.1</w:t>
      </w:r>
    </w:p>
    <w:p>
      <w:r>
        <w:t>Department: Data Platform</w:t>
      </w:r>
    </w:p>
    <w:p>
      <w:r>
        <w:t>Author: Jordan Lee</w:t>
      </w:r>
    </w:p>
    <w:p>
      <w:r>
        <w:t>Created date: 2025-01-14</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We prioritize customer impact, data integrity, and regulatory alignment. The Data Platform team coordinates with SRE to maintain operational readiness.</w:t>
      </w:r>
    </w:p>
    <w:p>
      <w:r>
        <w:t>The Data Platform team coordinates with SRE to maintain operational readiness. We prioritize customer impact, data integrity, and regulatory alignment. Teams must log requests in Google Workspace and track outcomes in CRM Platform for audit readiness.</w:t>
      </w:r>
    </w:p>
    <w:p>
      <w:pPr>
        <w:pStyle w:val="ListBullet"/>
      </w:pPr>
      <w:r>
        <w:t>Audit sampling occurs monthly and is summarized in leadership dashboards.</w:t>
      </w:r>
    </w:p>
    <w:p>
      <w:pPr>
        <w:pStyle w:val="ListBullet"/>
      </w:pPr>
      <w:r>
        <w:t>The Data Platform organization uses Okta to enforce consistent service baselines.</w:t>
      </w:r>
    </w:p>
    <w:p>
      <w:pPr>
        <w:pStyle w:val="ListBullet"/>
      </w:pPr>
      <w:r>
        <w:t>Audit sampling occurs monthly and is summarized in leadership dashboards.</w:t>
      </w:r>
    </w:p>
    <w:p>
      <w:pPr>
        <w:pStyle w:val="ListBullet"/>
      </w:pPr>
      <w:r>
        <w:t>Systems are monitored via Okta and alert routing in Google Workspace.</w:t>
      </w:r>
    </w:p>
    <w:p>
      <w:pPr>
        <w:pStyle w:val="ListBullet"/>
      </w:pPr>
      <w:r>
        <w:t>Escalations should follow the on-call rotation with a response target of 60 minutes.</w:t>
      </w:r>
    </w:p>
    <w:p>
      <w:pPr>
        <w:pStyle w:val="ListBullet"/>
      </w:pPr>
      <w:r>
        <w:t>Teams must log requests in Google Workspace and track outcomes in CRM Platform for audit readiness.</w:t>
      </w:r>
    </w:p>
    <w:p>
      <w:pPr>
        <w:pStyle w:val="Heading1"/>
      </w:pPr>
      <w:r>
        <w:t>Networking</w:t>
      </w:r>
    </w:p>
    <w:p>
      <w:r>
        <w:t>Teams must log requests in Google Workspace and track outcomes in CRM Platform for audit readiness. All incidents are tagged with severity and mapped to service tiers. Teams must log requests in Google Workspace and track outcomes in CRM Platform for audit readiness. The Data Platform team coordinates with SRE to maintain operational readiness.</w:t>
      </w:r>
    </w:p>
    <w:p>
      <w:pPr>
        <w:pStyle w:val="ListBullet"/>
      </w:pPr>
      <w:r>
        <w:t>Stakeholders include the SRE, service owner, and compliance lead for approvals.</w:t>
      </w:r>
    </w:p>
    <w:p>
      <w:pPr>
        <w:pStyle w:val="ListBullet"/>
      </w:pPr>
      <w:r>
        <w:t>Risk acceptance must be documented and revalidated each quarter.</w:t>
      </w:r>
    </w:p>
    <w:p>
      <w:pPr>
        <w:pStyle w:val="ListBullet"/>
      </w:pPr>
      <w:r>
        <w:t>Evidence artifacts are retained in Google Workspace for at least 18 months.</w:t>
      </w:r>
    </w:p>
    <w:p>
      <w:pPr>
        <w:pStyle w:val="ListBullet"/>
      </w:pPr>
      <w:r>
        <w:t>All incidents are tagged with severity and mapped to service tiers.</w:t>
      </w:r>
    </w:p>
    <w:p>
      <w:pPr>
        <w:pStyle w:val="ListBullet"/>
      </w:pPr>
      <w:r>
        <w:t>This document aligns with ISO 27001 requirements and supports EU data residency expectations.</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Access review</w:t>
            </w:r>
          </w:p>
        </w:tc>
        <w:tc>
          <w:tcPr>
            <w:tcW w:type="dxa" w:w="2880"/>
          </w:tcPr>
          <w:p>
            <w:r>
              <w:t>Data Platform</w:t>
            </w:r>
          </w:p>
        </w:tc>
        <w:tc>
          <w:tcPr>
            <w:tcW w:type="dxa" w:w="2880"/>
          </w:tcPr>
          <w:p>
            <w:r>
              <w:t>Blocked</w:t>
            </w:r>
          </w:p>
        </w:tc>
      </w:tr>
    </w:tbl>
    <w:p>
      <w:pPr>
        <w:pStyle w:val="Heading1"/>
      </w:pPr>
      <w:r>
        <w:t>Identity and Access</w:t>
      </w:r>
    </w:p>
    <w:p>
      <w:r>
        <w:t>Escalations should follow the on-call rotation with a response target of 60 minutes. Evidence artifacts are retained in Google Workspace for at least 18 months.</w:t>
      </w:r>
    </w:p>
    <w:p>
      <w:r>
        <w:t>All changes require peer review and validation in the CRM Platform before production promotion. Audit sampling occurs monthly and is summarized in leadership dashboards. Stakeholders include the SRE, service owner, and compliance lead for approvals. Risk acceptance must be documented and revalidated each quarter.</w:t>
      </w:r>
    </w:p>
    <w:p>
      <w:pPr>
        <w:pStyle w:val="ListBullet"/>
      </w:pPr>
      <w:r>
        <w:t>Teams must log requests in Google Workspace and track outcomes in CRM Platform for audit readiness.</w:t>
      </w:r>
    </w:p>
    <w:p>
      <w:pPr>
        <w:pStyle w:val="ListBullet"/>
      </w:pPr>
      <w:r>
        <w:t>The process integrates with CRM Platform and depends on Okta for telemetry signals.</w:t>
      </w:r>
    </w:p>
    <w:p>
      <w:pPr>
        <w:pStyle w:val="ListBullet"/>
      </w:pPr>
      <w:r>
        <w:t>Regional teams in EU follow the same policy with localized legal review.</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Backup validation</w:t>
            </w:r>
          </w:p>
        </w:tc>
        <w:tc>
          <w:tcPr>
            <w:tcW w:type="dxa" w:w="2880"/>
          </w:tcPr>
          <w:p>
            <w:r>
              <w:t>Operations</w:t>
            </w:r>
          </w:p>
        </w:tc>
        <w:tc>
          <w:tcPr>
            <w:tcW w:type="dxa" w:w="2880"/>
          </w:tcPr>
          <w:p>
            <w:r>
              <w:t>Blocked</w:t>
            </w:r>
          </w:p>
        </w:tc>
      </w:tr>
    </w:tbl>
    <w:p>
      <w:pPr>
        <w:pStyle w:val="Heading1"/>
      </w:pPr>
      <w:r>
        <w:t>Backup and DR</w:t>
      </w:r>
    </w:p>
    <w:p>
      <w:r>
        <w:t>We prioritize customer impact, data integrity, and regulatory alignment. The Data Platform organization uses Okta to enforce consistent service baselines. Systems are monitored via Okta and alert routing in Google Workspace.</w:t>
      </w:r>
    </w:p>
    <w:p>
      <w:pPr>
        <w:pStyle w:val="ListBullet"/>
      </w:pPr>
      <w:r>
        <w:t>The Data Platform organization uses Okta to enforce consistent service baselines.</w:t>
      </w:r>
    </w:p>
    <w:p>
      <w:pPr>
        <w:pStyle w:val="ListBullet"/>
      </w:pPr>
      <w:r>
        <w:t>Regional teams in EU follow the same policy with localized legal review.</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Data Platform organization uses Okta to enforce consistent service baselines.</w:t>
      </w:r>
    </w:p>
    <w:p>
      <w:pPr>
        <w:pStyle w:val="Heading1"/>
      </w:pPr>
      <w:r>
        <w:t>Cost Optimization</w:t>
      </w:r>
    </w:p>
    <w:p>
      <w:r>
        <w:t>Teams must log requests in Google Workspace and track outcomes in CRM Platform for audit readiness. We prioritize customer impact, data integrity, and regulatory alignment. This document aligns with ISO 27001 requirements and supports EU data residency expectations. Evidence artifacts are retained in Google Workspace for at least 18 months.</w:t>
      </w:r>
    </w:p>
    <w:p>
      <w:r>
        <w:t>The process integrates with CRM Platform and depends on Okta for telemetry signals. Systems are monitored via Okta and alert routing in Google Workspace. The Data Platform team coordinates with SRE to maintain operational readiness. Teams must log requests in Google Workspace and track outcomes in CRM Platform for audit readiness.</w:t>
      </w:r>
    </w:p>
    <w:p>
      <w:pPr>
        <w:pStyle w:val="ListBullet"/>
      </w:pPr>
      <w:r>
        <w:t>Evidence artifacts are retained in Google Workspace for at least 18 months.</w:t>
      </w:r>
    </w:p>
    <w:p>
      <w:pPr>
        <w:pStyle w:val="ListBullet"/>
      </w:pPr>
      <w:r>
        <w:t>Regional teams in EU follow the same policy with localized legal review.</w:t>
      </w:r>
    </w:p>
    <w:p>
      <w:pPr>
        <w:pStyle w:val="ListBullet"/>
      </w:pPr>
      <w:r>
        <w:t>The Data Platform team coordinates with SRE to maintain operational readiness.</w:t>
      </w:r>
    </w:p>
    <w:p>
      <w:pPr>
        <w:pStyle w:val="ListBullet"/>
      </w:pPr>
      <w:r>
        <w:t>The process integrates with CRM Platform and depends on Okta for telemetry signals.</w:t>
      </w:r>
    </w:p>
    <w:p>
      <w:pPr>
        <w:pStyle w:val="ListBullet"/>
      </w:pPr>
      <w:r>
        <w:t>Systems are monitored via Okta and alert routing in Google Workspace.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