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Engineering APAC v2.0</w:t>
      </w:r>
    </w:p>
    <w:p>
      <w:r>
        <w:t>Department: Engineering</w:t>
      </w:r>
    </w:p>
    <w:p>
      <w:r>
        <w:t>Author: Avery Nguyen</w:t>
      </w:r>
    </w:p>
    <w:p>
      <w:r>
        <w:t>Created date: 2025-07-09</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Escalations should follow the on-call rotation with a response target of 15 minutes. We prioritize customer impact, data integrity, and regulatory alignment. The Engineering team coordinates with Compliance Manager to maintain operational readiness.</w:t>
      </w:r>
    </w:p>
    <w:p>
      <w:pPr>
        <w:pStyle w:val="ListBullet"/>
      </w:pPr>
      <w:r>
        <w:t>This document aligns with SOC 2 requirements and supports APAC data residency expectations.</w:t>
      </w:r>
    </w:p>
    <w:p>
      <w:pPr>
        <w:pStyle w:val="ListBullet"/>
      </w:pPr>
      <w:r>
        <w:t>The process integrates with Customer Data Lake and depends on Redis for telemetry signals.</w:t>
      </w:r>
    </w:p>
    <w:p>
      <w:pPr>
        <w:pStyle w:val="ListBullet"/>
      </w:pPr>
      <w:r>
        <w:t>Escalations should follow the on-call rotation with a response target of 15 minutes.</w:t>
      </w:r>
    </w:p>
    <w:p>
      <w:pPr>
        <w:pStyle w:val="ListBullet"/>
      </w:pPr>
      <w:r>
        <w:t>Systems are monitored via Redis and alert routing in Jira.</w:t>
      </w:r>
    </w:p>
    <w:p>
      <w:pPr>
        <w:pStyle w:val="ListBullet"/>
      </w:pPr>
      <w:r>
        <w:t>Audit sampling occurs monthly and is summarized in leadership dashboards.</w:t>
      </w:r>
    </w:p>
    <w:p>
      <w:pPr>
        <w:pStyle w:val="Heading1"/>
      </w:pPr>
      <w:r>
        <w:t>Networking</w:t>
      </w:r>
    </w:p>
    <w:p>
      <w:r>
        <w:t>The process integrates with Customer Data Lake and depends on Redis for telemetry signals. Audit sampling occurs monthly and is summarized in leadership dashboards.</w:t>
      </w:r>
    </w:p>
    <w:p>
      <w:pPr>
        <w:pStyle w:val="ListBullet"/>
      </w:pPr>
      <w:r>
        <w:t>The process integrates with Customer Data Lake and depends on Redis for telemetry signals.</w:t>
      </w:r>
    </w:p>
    <w:p>
      <w:pPr>
        <w:pStyle w:val="ListBullet"/>
      </w:pPr>
      <w:r>
        <w:t>All changes require peer review and validation in the Customer Data Lake before production promotion.</w:t>
      </w:r>
    </w:p>
    <w:p>
      <w:pPr>
        <w:pStyle w:val="ListBullet"/>
      </w:pPr>
      <w:r>
        <w:t>The Engineering organization uses Redis to enforce consistent service baselines.</w:t>
      </w:r>
    </w:p>
    <w:p>
      <w:pPr>
        <w:pStyle w:val="ListBullet"/>
      </w:pPr>
      <w:r>
        <w:t>Risk acceptance must be documented and revalidated each quarter.</w:t>
      </w:r>
    </w:p>
    <w:p>
      <w:pPr>
        <w:pStyle w:val="ListBullet"/>
      </w:pPr>
      <w:r>
        <w:t>Risk acceptance must be documented and revalidated each quarter.</w:t>
      </w:r>
    </w:p>
    <w:p>
      <w:pPr>
        <w:pStyle w:val="ListBullet"/>
      </w:pPr>
      <w:r>
        <w:t>This document aligns with SOC 2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Engineering</w:t>
            </w:r>
          </w:p>
        </w:tc>
        <w:tc>
          <w:tcPr>
            <w:tcW w:type="dxa" w:w="2880"/>
          </w:tcPr>
          <w:p>
            <w:r>
              <w:t>Blocked</w:t>
            </w:r>
          </w:p>
        </w:tc>
      </w:tr>
      <w:tr>
        <w:tc>
          <w:tcPr>
            <w:tcW w:type="dxa" w:w="2880"/>
          </w:tcPr>
          <w:p>
            <w:r>
              <w:t>Incident drill</w:t>
            </w:r>
          </w:p>
        </w:tc>
        <w:tc>
          <w:tcPr>
            <w:tcW w:type="dxa" w:w="2880"/>
          </w:tcPr>
          <w:p>
            <w:r>
              <w:t>Security</w:t>
            </w:r>
          </w:p>
        </w:tc>
        <w:tc>
          <w:tcPr>
            <w:tcW w:type="dxa" w:w="2880"/>
          </w:tcPr>
          <w:p>
            <w:r>
              <w:t>Planned</w:t>
            </w:r>
          </w:p>
        </w:tc>
      </w:tr>
    </w:tbl>
    <w:p>
      <w:pPr>
        <w:pStyle w:val="Heading1"/>
      </w:pPr>
      <w:r>
        <w:t>Identity and Access</w:t>
      </w:r>
    </w:p>
    <w:p>
      <w:r>
        <w:t>This document aligns with SOC 2 requirements and supports APAC data residency expectations. Risk acceptance must be documented and revalidated each quarter. All incidents are tagged with severity and mapped to service tiers. Risk acceptance must be documented and revalidated each quarter.</w:t>
      </w:r>
    </w:p>
    <w:p>
      <w:r>
        <w:t>This document aligns with SOC 2 requirements and supports APAC data residency expectations. The Engineering organization uses Redis to enforce consistent service baselines. All incidents are tagged with severity and mapped to service tiers.</w:t>
      </w:r>
    </w:p>
    <w:p>
      <w:pPr>
        <w:pStyle w:val="ListBullet"/>
      </w:pPr>
      <w:r>
        <w:t>The process integrates with Customer Data Lake and depends on Redis for telemetry signals.</w:t>
      </w:r>
    </w:p>
    <w:p>
      <w:pPr>
        <w:pStyle w:val="ListBullet"/>
      </w:pPr>
      <w:r>
        <w:t>The Engineering team coordinates with Compliance Manager to maintain operational readiness.</w:t>
      </w:r>
    </w:p>
    <w:p>
      <w:pPr>
        <w:pStyle w:val="ListBullet"/>
      </w:pPr>
      <w:r>
        <w:t>Teams must log requests in Jira and track outcomes in Customer Data Lake for audit readiness.</w:t>
      </w:r>
    </w:p>
    <w:p>
      <w:pPr>
        <w:pStyle w:val="Heading1"/>
      </w:pPr>
      <w:r>
        <w:t>Backup and DR</w:t>
      </w:r>
    </w:p>
    <w:p>
      <w:r>
        <w:t>Regional teams in APAC follow the same policy with localized legal review. Risk acceptance must be documented and revalidated each quarter. Audit sampling occurs monthly and is summarized in leadership dashboards. Stakeholders include the Compliance Manager, service owner, and compliance lead for approvals.</w:t>
      </w:r>
    </w:p>
    <w:p>
      <w:r>
        <w:t>All changes require peer review and validation in the Customer Data Lake before production promotion. Escalations should follow the on-call rotation with a response target of 15 minutes. We prioritize customer impact, data integrity, and regulatory alignment. This document aligns with SOC 2 requirements and supports APAC data residency expectations.</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This document aligns with SOC 2 requirements and supports APAC data residency expectations.</w:t>
      </w:r>
    </w:p>
    <w:p>
      <w:pPr>
        <w:pStyle w:val="ListBullet"/>
      </w:pPr>
      <w:r>
        <w:t>The Engineering organization uses Redis to enforce consistent service baselines.</w:t>
      </w:r>
    </w:p>
    <w:p>
      <w:pPr>
        <w:pStyle w:val="ListBullet"/>
      </w:pPr>
      <w:r>
        <w:t>The Engineering organization uses Redis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Engineering</w:t>
            </w:r>
          </w:p>
        </w:tc>
        <w:tc>
          <w:tcPr>
            <w:tcW w:type="dxa" w:w="2880"/>
          </w:tcPr>
          <w:p>
            <w:r>
              <w:t>Complete</w:t>
            </w:r>
          </w:p>
        </w:tc>
      </w:tr>
      <w:tr>
        <w:tc>
          <w:tcPr>
            <w:tcW w:type="dxa" w:w="2880"/>
          </w:tcPr>
          <w:p>
            <w:r>
              <w:t>Patch window</w:t>
            </w:r>
          </w:p>
        </w:tc>
        <w:tc>
          <w:tcPr>
            <w:tcW w:type="dxa" w:w="2880"/>
          </w:tcPr>
          <w:p>
            <w:r>
              <w:t>Operations</w:t>
            </w:r>
          </w:p>
        </w:tc>
        <w:tc>
          <w:tcPr>
            <w:tcW w:type="dxa" w:w="2880"/>
          </w:tcPr>
          <w:p>
            <w:r>
              <w:t>In Progress</w:t>
            </w:r>
          </w:p>
        </w:tc>
      </w:tr>
    </w:tbl>
    <w:p>
      <w:pPr>
        <w:pStyle w:val="Heading1"/>
      </w:pPr>
      <w:r>
        <w:t>Cost Optimization</w:t>
      </w:r>
    </w:p>
    <w:p>
      <w:r>
        <w:t>The Engineering organization uses Redis to enforce consistent service baselines. Risk acceptance must be documented and revalidated each quarter. Escalations should follow the on-call rotation with a response target of 15 minutes. Escalations should follow the on-call rotation with a response target of 15 minutes.</w:t>
      </w:r>
    </w:p>
    <w:p>
      <w:pPr>
        <w:pStyle w:val="ListBullet"/>
      </w:pPr>
      <w:r>
        <w:t>Systems are monitored via Redis and alert routing in Jira.</w:t>
      </w:r>
    </w:p>
    <w:p>
      <w:pPr>
        <w:pStyle w:val="ListBullet"/>
      </w:pPr>
      <w:r>
        <w:t>Escalations should follow the on-call rotation with a response target of 15 minutes.</w:t>
      </w:r>
    </w:p>
    <w:p>
      <w:pPr>
        <w:pStyle w:val="ListBullet"/>
      </w:pPr>
      <w:r>
        <w:t>The Engineering organization uses Redis to enforce consistent service baselines.</w:t>
      </w:r>
    </w:p>
    <w:p>
      <w:pPr>
        <w:pStyle w:val="ListBullet"/>
      </w:pPr>
      <w:r>
        <w:t>Risk acceptance must be documented and revalidated each quarter.</w:t>
      </w:r>
    </w:p>
    <w:p>
      <w:pPr>
        <w:pStyle w:val="ListBullet"/>
      </w:pPr>
      <w:r>
        <w:t>The Engineering team coordinates with Compliance Manager to maintain operational readiness.</w:t>
      </w:r>
    </w:p>
    <w:p>
      <w:pPr>
        <w:pStyle w:val="ListBullet"/>
      </w:pPr>
      <w:r>
        <w:t>Stakeholders include the Compliance Manager,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