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Human Resources US v2.1</w:t>
      </w:r>
    </w:p>
    <w:p>
      <w:r>
        <w:t>Department: Human Resources</w:t>
      </w:r>
    </w:p>
    <w:p>
      <w:r>
        <w:t>Author: Jordan Patel</w:t>
      </w:r>
    </w:p>
    <w:p>
      <w:r>
        <w:t>Created date: 2024-11-16</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Human Resources team coordinates with Finance Analyst to maintain operational readiness. Evidence artifacts are retained in Confluence for at least 12 months.</w:t>
      </w:r>
    </w:p>
    <w:p>
      <w:pPr>
        <w:pStyle w:val="ListBullet"/>
      </w:pPr>
      <w:r>
        <w:t>We prioritize customer impact, data integrity, and regulatory alignment.</w:t>
      </w:r>
    </w:p>
    <w:p>
      <w:pPr>
        <w:pStyle w:val="ListBullet"/>
      </w:pPr>
      <w:r>
        <w:t>Evidence artifacts are retained in Confluence for at least 12 months.</w:t>
      </w:r>
    </w:p>
    <w:p>
      <w:pPr>
        <w:pStyle w:val="ListBullet"/>
      </w:pPr>
      <w:r>
        <w:t>Systems are monitored via ServiceNow and alert routing in Confluence.</w:t>
      </w:r>
    </w:p>
    <w:p>
      <w:pPr>
        <w:pStyle w:val="ListBullet"/>
      </w:pPr>
      <w:r>
        <w:t>We prioritize customer impact, data integrity, and regulatory alignment.</w:t>
      </w:r>
    </w:p>
    <w:p>
      <w:pPr>
        <w:pStyle w:val="ListBullet"/>
      </w:pPr>
      <w:r>
        <w:t>The process integrates with Ticketing Platform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 Analyst</w:t>
            </w:r>
          </w:p>
        </w:tc>
        <w:tc>
          <w:tcPr>
            <w:tcW w:type="dxa" w:w="2880"/>
          </w:tcPr>
          <w:p>
            <w:r>
              <w:t>In Progress</w:t>
            </w:r>
          </w:p>
        </w:tc>
      </w:tr>
      <w:tr>
        <w:tc>
          <w:tcPr>
            <w:tcW w:type="dxa" w:w="2880"/>
          </w:tcPr>
          <w:p>
            <w:r>
              <w:t>Vendor check</w:t>
            </w:r>
          </w:p>
        </w:tc>
        <w:tc>
          <w:tcPr>
            <w:tcW w:type="dxa" w:w="2880"/>
          </w:tcPr>
          <w:p>
            <w:r>
              <w:t>Human Resources</w:t>
            </w:r>
          </w:p>
        </w:tc>
        <w:tc>
          <w:tcPr>
            <w:tcW w:type="dxa" w:w="2880"/>
          </w:tcPr>
          <w:p>
            <w:r>
              <w:t>Blocked</w:t>
            </w:r>
          </w:p>
        </w:tc>
      </w:tr>
      <w:tr>
        <w:tc>
          <w:tcPr>
            <w:tcW w:type="dxa" w:w="2880"/>
          </w:tcPr>
          <w:p>
            <w:r>
              <w:t>Vendor check</w:t>
            </w:r>
          </w:p>
        </w:tc>
        <w:tc>
          <w:tcPr>
            <w:tcW w:type="dxa" w:w="2880"/>
          </w:tcPr>
          <w:p>
            <w:r>
              <w:t>Finance Analyst</w:t>
            </w:r>
          </w:p>
        </w:tc>
        <w:tc>
          <w:tcPr>
            <w:tcW w:type="dxa" w:w="2880"/>
          </w:tcPr>
          <w:p>
            <w:r>
              <w:t>Blocked</w:t>
            </w:r>
          </w:p>
        </w:tc>
      </w:tr>
      <w:tr>
        <w:tc>
          <w:tcPr>
            <w:tcW w:type="dxa" w:w="2880"/>
          </w:tcPr>
          <w:p>
            <w:r>
              <w:t>Incident drill</w:t>
            </w:r>
          </w:p>
        </w:tc>
        <w:tc>
          <w:tcPr>
            <w:tcW w:type="dxa" w:w="2880"/>
          </w:tcPr>
          <w:p>
            <w:r>
              <w:t>Finance Analyst</w:t>
            </w:r>
          </w:p>
        </w:tc>
        <w:tc>
          <w:tcPr>
            <w:tcW w:type="dxa" w:w="2880"/>
          </w:tcPr>
          <w:p>
            <w:r>
              <w:t>Planned</w:t>
            </w:r>
          </w:p>
        </w:tc>
      </w:tr>
    </w:tbl>
    <w:p>
      <w:pPr>
        <w:pStyle w:val="Heading1"/>
      </w:pPr>
      <w:r>
        <w:t>Networking</w:t>
      </w:r>
    </w:p>
    <w:p>
      <w:r>
        <w:t>Audit sampling occurs monthly and is summarized in leadership dashboards. The Human Resources team coordinates with Finance Analyst to maintain operational readiness.</w:t>
      </w:r>
    </w:p>
    <w:p>
      <w:r>
        <w:t>The Human Resources organization uses ServiceNow to enforce consistent service baselines. We prioritize customer impact, data integrity, and regulatory alignment. The process integrates with Ticketing Platform and depends on ServiceNow for telemetry signals. All incidents are tagged with severity and mapped to service tiers.</w:t>
      </w:r>
    </w:p>
    <w:p>
      <w:pPr>
        <w:pStyle w:val="ListBullet"/>
      </w:pPr>
      <w:r>
        <w:t>All changes require peer review and validation in the Ticketing Platform before production promotion.</w:t>
      </w:r>
    </w:p>
    <w:p>
      <w:pPr>
        <w:pStyle w:val="ListBullet"/>
      </w:pPr>
      <w:r>
        <w:t>Risk acceptance must be documented and revalidated each quarter.</w:t>
      </w:r>
    </w:p>
    <w:p>
      <w:pPr>
        <w:pStyle w:val="ListBullet"/>
      </w:pPr>
      <w:r>
        <w:t>The process integrates with Ticketing Platform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Human Resources</w:t>
            </w:r>
          </w:p>
        </w:tc>
        <w:tc>
          <w:tcPr>
            <w:tcW w:type="dxa" w:w="2880"/>
          </w:tcPr>
          <w:p>
            <w:r>
              <w:t>Complete</w:t>
            </w:r>
          </w:p>
        </w:tc>
      </w:tr>
      <w:tr>
        <w:tc>
          <w:tcPr>
            <w:tcW w:type="dxa" w:w="2880"/>
          </w:tcPr>
          <w:p>
            <w:r>
              <w:t>Incident drill</w:t>
            </w:r>
          </w:p>
        </w:tc>
        <w:tc>
          <w:tcPr>
            <w:tcW w:type="dxa" w:w="2880"/>
          </w:tcPr>
          <w:p>
            <w:r>
              <w:t>Human Resources</w:t>
            </w:r>
          </w:p>
        </w:tc>
        <w:tc>
          <w:tcPr>
            <w:tcW w:type="dxa" w:w="2880"/>
          </w:tcPr>
          <w:p>
            <w:r>
              <w:t>Complete</w:t>
            </w:r>
          </w:p>
        </w:tc>
      </w:tr>
    </w:tbl>
    <w:p>
      <w:pPr>
        <w:pStyle w:val="Heading1"/>
      </w:pPr>
      <w:r>
        <w:t>Identity and Access</w:t>
      </w:r>
    </w:p>
    <w:p>
      <w:r>
        <w:t>Systems are monitored via ServiceNow and alert routing in Confluence. Systems are monitored via ServiceNow and alert routing in Confluence.</w:t>
      </w:r>
    </w:p>
    <w:p>
      <w:pPr>
        <w:pStyle w:val="ListBullet"/>
      </w:pPr>
      <w:r>
        <w:t>Evidence artifacts are retained in Confluence for at least 12 months.</w:t>
      </w:r>
    </w:p>
    <w:p>
      <w:pPr>
        <w:pStyle w:val="ListBullet"/>
      </w:pPr>
      <w:r>
        <w:t>The Human Resources team coordinates with Finance Analyst to maintain operational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Human Resources team coordinates with Finance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Human Resources</w:t>
            </w:r>
          </w:p>
        </w:tc>
        <w:tc>
          <w:tcPr>
            <w:tcW w:type="dxa" w:w="2880"/>
          </w:tcPr>
          <w:p>
            <w:r>
              <w:t>Complete</w:t>
            </w:r>
          </w:p>
        </w:tc>
      </w:tr>
      <w:tr>
        <w:tc>
          <w:tcPr>
            <w:tcW w:type="dxa" w:w="2880"/>
          </w:tcPr>
          <w:p>
            <w:r>
              <w:t>Incident drill</w:t>
            </w:r>
          </w:p>
        </w:tc>
        <w:tc>
          <w:tcPr>
            <w:tcW w:type="dxa" w:w="2880"/>
          </w:tcPr>
          <w:p>
            <w:r>
              <w:t>Finance Analyst</w:t>
            </w:r>
          </w:p>
        </w:tc>
        <w:tc>
          <w:tcPr>
            <w:tcW w:type="dxa" w:w="2880"/>
          </w:tcPr>
          <w:p>
            <w:r>
              <w:t>Blocked</w:t>
            </w:r>
          </w:p>
        </w:tc>
      </w:tr>
      <w:tr>
        <w:tc>
          <w:tcPr>
            <w:tcW w:type="dxa" w:w="2880"/>
          </w:tcPr>
          <w:p>
            <w:r>
              <w:t>Incident drill</w:t>
            </w:r>
          </w:p>
        </w:tc>
        <w:tc>
          <w:tcPr>
            <w:tcW w:type="dxa" w:w="2880"/>
          </w:tcPr>
          <w:p>
            <w:r>
              <w:t>Finance Analyst</w:t>
            </w:r>
          </w:p>
        </w:tc>
        <w:tc>
          <w:tcPr>
            <w:tcW w:type="dxa" w:w="2880"/>
          </w:tcPr>
          <w:p>
            <w:r>
              <w:t>Blocked</w:t>
            </w:r>
          </w:p>
        </w:tc>
      </w:tr>
    </w:tbl>
    <w:p>
      <w:pPr>
        <w:pStyle w:val="Heading1"/>
      </w:pPr>
      <w:r>
        <w:t>Backup and DR</w:t>
      </w:r>
    </w:p>
    <w:p>
      <w:r>
        <w:t>This document aligns with SOC 2 requirements and supports US data residency expectations. The Human Resources team coordinates with Finance Analyst to maintain operational readiness. Regional teams in US follow the same policy with localized legal review. We prioritize customer impact, data integrity, and regulatory alignment.</w:t>
      </w:r>
    </w:p>
    <w:p>
      <w:r>
        <w:t>Systems are monitored via ServiceNow and alert routing in Confluence. Systems are monitored via ServiceNow and alert routing in Confluence.</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Systems are monitored via ServiceNow and alert routing in Confluence.</w:t>
      </w:r>
    </w:p>
    <w:p>
      <w:pPr>
        <w:pStyle w:val="Heading1"/>
      </w:pPr>
      <w:r>
        <w:t>Cost Optimization</w:t>
      </w:r>
    </w:p>
    <w:p>
      <w:r>
        <w:t>This document aligns with SOC 2 requirements and supports US data residency expectations. The process integrates with Ticketing Platform and depends on ServiceNow for telemetry signals. Risk acceptance must be documented and revalidated each quarter. The Human Resources organization uses ServiceNow to enforce consistent service baselines.</w:t>
      </w:r>
    </w:p>
    <w:p>
      <w:r>
        <w:t>All incidents are tagged with severity and mapped to service tiers. This document aligns with SOC 2 requirements and supports US data residency expectations. Stakeholders include the Finance Analyst, service owner, and compliance lead for approvals.</w:t>
      </w:r>
    </w:p>
    <w:p>
      <w:pPr>
        <w:pStyle w:val="ListBullet"/>
      </w:pPr>
      <w:r>
        <w:t>All changes require peer review and validation in the Ticketing Platform before production promotion.</w:t>
      </w:r>
    </w:p>
    <w:p>
      <w:pPr>
        <w:pStyle w:val="ListBullet"/>
      </w:pPr>
      <w:r>
        <w:t>Evidence artifacts are retained in Confluence for at least 12 months.</w:t>
      </w:r>
    </w:p>
    <w:p>
      <w:pPr>
        <w:pStyle w:val="ListBullet"/>
      </w:pPr>
      <w:r>
        <w:t>Systems are monitored via ServiceNow and alert routing in Confluence.</w:t>
      </w:r>
    </w:p>
    <w:p>
      <w:pPr>
        <w:pStyle w:val="ListBullet"/>
      </w:pPr>
      <w:r>
        <w:t>The Human Resources team coordinates with Finance Analyst to maintain operational readiness.</w:t>
      </w:r>
    </w:p>
    <w:p>
      <w:pPr>
        <w:pStyle w:val="ListBullet"/>
      </w:pPr>
      <w:r>
        <w:t>All incidents are tagged with severity and mapped to service tiers.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