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Information Technology APAC v1.0</w:t>
      </w:r>
    </w:p>
    <w:p>
      <w:r>
        <w:t>Department: Information Technology</w:t>
      </w:r>
    </w:p>
    <w:p>
      <w:r>
        <w:t>Author: Morgan Nguyen</w:t>
      </w:r>
    </w:p>
    <w:p>
      <w:r>
        <w:t>Created date: 2026-01-02</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Audit sampling occurs monthly and is summarized in leadership dashboards. Risk acceptance must be documented and revalidated each quarter.</w:t>
      </w:r>
    </w:p>
    <w:p>
      <w:r>
        <w:t>All changes require peer review and validation in the ERP System before production promotion. Escalations should follow the on-call rotation with a response target of 30 minutes. The Information Technology team coordinates with Security Analyst to maintain operational readiness.</w:t>
      </w:r>
    </w:p>
    <w:p>
      <w:pPr>
        <w:pStyle w:val="ListBullet"/>
      </w:pPr>
      <w:r>
        <w:t>Risk acceptance must be documented and revalidated each quarter.</w:t>
      </w:r>
    </w:p>
    <w:p>
      <w:pPr>
        <w:pStyle w:val="ListBullet"/>
      </w:pPr>
      <w:r>
        <w:t>Escalations should follow the on-call rotation with a response target of 30 minutes.</w:t>
      </w:r>
    </w:p>
    <w:p>
      <w:pPr>
        <w:pStyle w:val="ListBullet"/>
      </w:pPr>
      <w:r>
        <w:t>Evidence artifacts are retained in Microsoft 365 for at least 24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Complete</w:t>
            </w:r>
          </w:p>
        </w:tc>
      </w:tr>
      <w:tr>
        <w:tc>
          <w:tcPr>
            <w:tcW w:type="dxa" w:w="2880"/>
          </w:tcPr>
          <w:p>
            <w:r>
              <w:t>Patch window</w:t>
            </w:r>
          </w:p>
        </w:tc>
        <w:tc>
          <w:tcPr>
            <w:tcW w:type="dxa" w:w="2880"/>
          </w:tcPr>
          <w:p>
            <w:r>
              <w:t>Information Technology</w:t>
            </w:r>
          </w:p>
        </w:tc>
        <w:tc>
          <w:tcPr>
            <w:tcW w:type="dxa" w:w="2880"/>
          </w:tcPr>
          <w:p>
            <w:r>
              <w:t>Complete</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Vendor check</w:t>
            </w:r>
          </w:p>
        </w:tc>
        <w:tc>
          <w:tcPr>
            <w:tcW w:type="dxa" w:w="2880"/>
          </w:tcPr>
          <w:p>
            <w:r>
              <w:t>Operations</w:t>
            </w:r>
          </w:p>
        </w:tc>
        <w:tc>
          <w:tcPr>
            <w:tcW w:type="dxa" w:w="2880"/>
          </w:tcPr>
          <w:p>
            <w:r>
              <w:t>Complete</w:t>
            </w:r>
          </w:p>
        </w:tc>
      </w:tr>
    </w:tbl>
    <w:p>
      <w:pPr>
        <w:pStyle w:val="Heading1"/>
      </w:pPr>
      <w:r>
        <w:t>Networking</w:t>
      </w:r>
    </w:p>
    <w:p>
      <w:r>
        <w:t>The Information Technology team coordinates with Security Analyst to maintain operational readiness. The process integrates with ERP System and depends on Prometheus for telemetry signals. This document aligns with GDPR requirements and supports APAC data residency expectations. Stakeholders include the Security Analyst, service owner, and compliance lead for approvals.</w:t>
      </w:r>
    </w:p>
    <w:p>
      <w:r>
        <w:t>Systems are monitored via Prometheus and alert routing in Microsoft 365. All changes require peer review and validation in the ERP System before production promotion.</w:t>
      </w:r>
    </w:p>
    <w:p>
      <w:pPr>
        <w:pStyle w:val="ListBullet"/>
      </w:pPr>
      <w:r>
        <w:t>This document aligns with GDPR requirements and supports APAC data residency expectations.</w:t>
      </w:r>
    </w:p>
    <w:p>
      <w:pPr>
        <w:pStyle w:val="ListBullet"/>
      </w:pPr>
      <w:r>
        <w:t>Evidence artifacts are retained in Microsoft 365 for at least 24 months.</w:t>
      </w:r>
    </w:p>
    <w:p>
      <w:pPr>
        <w:pStyle w:val="ListBullet"/>
      </w:pPr>
      <w:r>
        <w:t>Risk acceptance must be documented and revalidated each quarter.</w:t>
      </w:r>
    </w:p>
    <w:p>
      <w:pPr>
        <w:pStyle w:val="Heading1"/>
      </w:pPr>
      <w:r>
        <w:t>Identity and Access</w:t>
      </w:r>
    </w:p>
    <w:p>
      <w:r>
        <w:t>The process integrates with ERP System and depends on Prometheus for telemetry signals. Audit sampling occurs monthly and is summarized in leadership dashboards. This document aligns with GDPR requirements and supports APAC data residency expectations. Audit sampling occurs monthly and is summarized in leadership dashboards.</w:t>
      </w:r>
    </w:p>
    <w:p>
      <w:r>
        <w:t>The Information Technology team coordinates with Security Analyst to maintain operational readiness. Stakeholders include the Security Analyst, service owner, and compliance lead for approvals. Audit sampling occurs monthly and is summarized in leadership dashboards.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Stakeholders include the Security Analyst, service owner, and compliance lead for approvals.</w:t>
      </w:r>
    </w:p>
    <w:p>
      <w:pPr>
        <w:pStyle w:val="ListBullet"/>
      </w:pPr>
      <w:r>
        <w:t>Regional teams in APAC follow the same policy with localized legal review.</w:t>
      </w:r>
    </w:p>
    <w:p>
      <w:pPr>
        <w:pStyle w:val="Heading1"/>
      </w:pPr>
      <w:r>
        <w:t>Backup and DR</w:t>
      </w:r>
    </w:p>
    <w:p>
      <w:r>
        <w:t>This document aligns with GDPR requirements and supports APAC data residency expectations. This document aligns with GDPR requirements and supports APAC data residency expectations.</w:t>
      </w:r>
    </w:p>
    <w:p>
      <w:r>
        <w:t>Regional teams in APAC follow the same policy with localized legal review. Escalations should follow the on-call rotation with a response target of 30 minutes.</w:t>
      </w:r>
    </w:p>
    <w:p>
      <w:pPr>
        <w:pStyle w:val="ListBullet"/>
      </w:pPr>
      <w:r>
        <w:t>We prioritize customer impact, data integrity, and regulatory alignment.</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We prioritize customer impact, data integrity, and regulatory alignment.</w:t>
      </w:r>
    </w:p>
    <w:p>
      <w:pPr>
        <w:pStyle w:val="Heading1"/>
      </w:pPr>
      <w:r>
        <w:t>Cost Optimization</w:t>
      </w:r>
    </w:p>
    <w:p>
      <w:r>
        <w:t>Risk acceptance must be documented and revalidated each quarter. The process integrates with ERP System and depends on Prometheus for telemetry signals. Risk acceptance must be documented and revalidated each quarter.</w:t>
      </w:r>
    </w:p>
    <w:p>
      <w:r>
        <w:t>All incidents are tagged with severity and mapped to service tiers. Regional teams in APAC follow the same policy with localized legal review.</w:t>
      </w:r>
    </w:p>
    <w:p>
      <w:pPr>
        <w:pStyle w:val="ListBullet"/>
      </w:pPr>
      <w:r>
        <w:t>This document aligns with GDPR requirements and supports APAC data residency expectations.</w:t>
      </w:r>
    </w:p>
    <w:p>
      <w:pPr>
        <w:pStyle w:val="ListBullet"/>
      </w:pPr>
      <w:r>
        <w:t>Teams must log requests in Microsoft 365 and track outcomes in ERP System for audit readiness.</w:t>
      </w:r>
    </w:p>
    <w:p>
      <w:pPr>
        <w:pStyle w:val="ListBullet"/>
      </w:pPr>
      <w:r>
        <w:t>Teams must log requests in Microsoft 365 and track outcomes in ERP System for audit readiness.</w:t>
      </w:r>
    </w:p>
    <w:p>
      <w:pPr>
        <w:pStyle w:val="ListBullet"/>
      </w:pPr>
      <w:r>
        <w:t>This document aligns with GDPR requirements and supports APAC data residency expectations.</w:t>
      </w:r>
    </w:p>
    <w:p>
      <w:pPr>
        <w:pStyle w:val="ListBullet"/>
      </w:pPr>
      <w:r>
        <w:t>Systems are monitored via Prometheus and alert routing in Microsoft 365.</w:t>
      </w:r>
    </w:p>
    <w:p>
      <w:pPr>
        <w:pStyle w:val="ListBullet"/>
      </w:pPr>
      <w:r>
        <w:t>Teams must log requests in Microsoft 365 and track outcomes in ERP System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Information Technology</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