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Infrastructure Guides - Legal APAC v2.1</w:t>
      </w:r>
    </w:p>
    <w:p>
      <w:r>
        <w:t>Department: Legal</w:t>
      </w:r>
    </w:p>
    <w:p>
      <w:r>
        <w:t>Author: Morgan Brown</w:t>
      </w:r>
    </w:p>
    <w:p>
      <w:r>
        <w:t>Created date: 2025-01-03</w:t>
      </w:r>
    </w:p>
    <w:p>
      <w:r>
        <w:t>Region: APAC</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Architecture Overview</w:t>
      </w:r>
    </w:p>
    <w:p>
      <w:r>
        <w:t>We prioritize customer impact, data integrity, and regulatory alignment. The Legal organization uses Datadog to enforce consistent service baselines. Regional teams in APAC follow the same policy with localized legal review.</w:t>
      </w:r>
    </w:p>
    <w:p>
      <w:r>
        <w:t>The Legal organization uses Datadog to enforce consistent service baselines. The Legal team coordinates with Product Manager to maintain operational readiness. All incidents are tagged with severity and mapped to service tiers.</w:t>
      </w:r>
    </w:p>
    <w:p>
      <w:pPr>
        <w:pStyle w:val="ListBullet"/>
      </w:pPr>
      <w:r>
        <w:t>All changes require peer review and validation in the Ticketing Platform before production promotion.</w:t>
      </w:r>
    </w:p>
    <w:p>
      <w:pPr>
        <w:pStyle w:val="ListBullet"/>
      </w:pPr>
      <w:r>
        <w:t>Teams must log requests in Slack and track outcomes in Ticketing Platform for audit readiness.</w:t>
      </w:r>
    </w:p>
    <w:p>
      <w:pPr>
        <w:pStyle w:val="ListBullet"/>
      </w:pPr>
      <w:r>
        <w:t>Systems are monitored via Datadog and alert routing in Slack.</w:t>
      </w:r>
    </w:p>
    <w:p>
      <w:pPr>
        <w:pStyle w:val="ListBullet"/>
      </w:pPr>
      <w:r>
        <w:t>Systems are monitored via Datadog and alert routing in Slack.</w:t>
      </w:r>
    </w:p>
    <w:p>
      <w:pPr>
        <w:pStyle w:val="ListBullet"/>
      </w:pPr>
      <w:r>
        <w:t>Regional teams in APAC follow the same policy with localized legal review.</w:t>
      </w:r>
    </w:p>
    <w:p>
      <w:pPr>
        <w:pStyle w:val="Heading1"/>
      </w:pPr>
      <w:r>
        <w:t>Networking</w:t>
      </w:r>
    </w:p>
    <w:p>
      <w:r>
        <w:t>Escalations should follow the on-call rotation with a response target of 45 minutes. Teams must log requests in Slack and track outcomes in Ticketing Platform for audit readiness.</w:t>
      </w:r>
    </w:p>
    <w:p>
      <w:r>
        <w:t>Stakeholders include the Product Manager, service owner, and compliance lead for approvals. This document aligns with ISO 27001 requirements and supports APAC data residency expectations.</w:t>
      </w:r>
    </w:p>
    <w:p>
      <w:pPr>
        <w:pStyle w:val="ListBullet"/>
      </w:pPr>
      <w:r>
        <w:t>Systems are monitored via Datadog and alert routing in Slack.</w:t>
      </w:r>
    </w:p>
    <w:p>
      <w:pPr>
        <w:pStyle w:val="ListBullet"/>
      </w:pPr>
      <w:r>
        <w:t>The Legal team coordinates with Product Manager to maintain operational readiness.</w:t>
      </w:r>
    </w:p>
    <w:p>
      <w:pPr>
        <w:pStyle w:val="ListBullet"/>
      </w:pPr>
      <w:r>
        <w:t>All changes require peer review and validation in the Ticketing Platform before production promotion.</w:t>
      </w:r>
    </w:p>
    <w:p>
      <w:pPr>
        <w:pStyle w:val="ListBullet"/>
      </w:pPr>
      <w:r>
        <w:t>Stakeholders include the Product Manager, service owner, and compliance lead for approvals.</w:t>
      </w:r>
    </w:p>
    <w:p>
      <w:pPr>
        <w:pStyle w:val="ListBullet"/>
      </w:pPr>
      <w:r>
        <w:t>Audit sampling occurs monthly and is summarized in leadership dashboards.</w:t>
      </w:r>
    </w:p>
    <w:p>
      <w:pPr>
        <w:pStyle w:val="ListBullet"/>
      </w:pPr>
      <w:r>
        <w:t>Teams must log requests in Slack and track outcomes in Ticketing Platform for audit readiness.</w:t>
      </w:r>
    </w:p>
    <w:p>
      <w:pPr>
        <w:pStyle w:val="Heading1"/>
      </w:pPr>
      <w:r>
        <w:t>Identity and Access</w:t>
      </w:r>
    </w:p>
    <w:p>
      <w:r>
        <w:t>Evidence artifacts are retained in Slack for at least 36 months. The process integrates with Ticketing Platform and depends on Datadog for telemetry signals.</w:t>
      </w:r>
    </w:p>
    <w:p>
      <w:r>
        <w:t>The process integrates with Ticketing Platform and depends on Datadog for telemetry signals. The Legal team coordinates with Product Manager to maintain operational readiness. Regional teams in APAC follow the same policy with localized legal review. The process integrates with Ticketing Platform and depends on Datadog for telemetry signals.</w:t>
      </w:r>
    </w:p>
    <w:p>
      <w:pPr>
        <w:pStyle w:val="ListBullet"/>
      </w:pPr>
      <w:r>
        <w:t>The Legal organization uses Datadog to enforce consistent service baselines.</w:t>
      </w:r>
    </w:p>
    <w:p>
      <w:pPr>
        <w:pStyle w:val="ListBullet"/>
      </w:pPr>
      <w:r>
        <w:t>This document aligns with ISO 27001 requirements and supports APAC data residency expectations.</w:t>
      </w:r>
    </w:p>
    <w:p>
      <w:pPr>
        <w:pStyle w:val="ListBullet"/>
      </w:pPr>
      <w:r>
        <w:t>Escalations should follow the on-call rotation with a response target of 45 minutes.</w:t>
      </w:r>
    </w:p>
    <w:p>
      <w:pPr>
        <w:pStyle w:val="ListBullet"/>
      </w:pPr>
      <w:r>
        <w:t>This document aligns with ISO 27001 requirements and supports APAC data residency expectations.</w:t>
      </w:r>
    </w:p>
    <w:p>
      <w:pPr>
        <w:pStyle w:val="Heading1"/>
      </w:pPr>
      <w:r>
        <w:t>Backup and DR</w:t>
      </w:r>
    </w:p>
    <w:p>
      <w:r>
        <w:t>Systems are monitored via Datadog and alert routing in Slack. Teams must log requests in Slack and track outcomes in Ticketing Platform for audit readiness. Evidence artifacts are retained in Slack for at least 36 months. All incidents are tagged with severity and mapped to service tiers.</w:t>
      </w:r>
    </w:p>
    <w:p>
      <w:r>
        <w:t>All incidents are tagged with severity and mapped to service tiers. The Legal organization uses Datadog to enforce consistent service baselines.</w:t>
      </w:r>
    </w:p>
    <w:p>
      <w:pPr>
        <w:pStyle w:val="ListBullet"/>
      </w:pPr>
      <w:r>
        <w:t>Regional teams in APAC follow the same policy with localized legal review.</w:t>
      </w:r>
    </w:p>
    <w:p>
      <w:pPr>
        <w:pStyle w:val="ListBullet"/>
      </w:pPr>
      <w:r>
        <w:t>All changes require peer review and validation in the Ticketing Platform before production promotion.</w:t>
      </w:r>
    </w:p>
    <w:p>
      <w:pPr>
        <w:pStyle w:val="ListBullet"/>
      </w:pPr>
      <w:r>
        <w:t>The Legal organization uses Datadog to enforce consistent service baselines.</w:t>
      </w:r>
    </w:p>
    <w:p>
      <w:pPr>
        <w:pStyle w:val="ListBullet"/>
      </w:pPr>
      <w:r>
        <w:t>This document aligns with ISO 27001 requirements and supports APAC data residency expectations.</w:t>
      </w:r>
    </w:p>
    <w:p>
      <w:pPr>
        <w:pStyle w:val="ListBullet"/>
      </w:pPr>
      <w:r>
        <w:t>Teams must log requests in Slack and track outcomes in Ticketing Platform for audit readiness.</w:t>
      </w:r>
    </w:p>
    <w:p>
      <w:pPr>
        <w:pStyle w:val="Heading1"/>
      </w:pPr>
      <w:r>
        <w:t>Cost Optimization</w:t>
      </w:r>
    </w:p>
    <w:p>
      <w:r>
        <w:t>We prioritize customer impact, data integrity, and regulatory alignment. Teams must log requests in Slack and track outcomes in Ticketing Platform for audit readiness. Regional teams in APAC follow the same policy with localized legal review.</w:t>
      </w:r>
    </w:p>
    <w:p>
      <w:r>
        <w:t>All incidents are tagged with severity and mapped to service tiers. Systems are monitored via Datadog and alert routing in Slack. Evidence artifacts are retained in Slack for at least 36 months.</w:t>
      </w:r>
    </w:p>
    <w:p>
      <w:pPr>
        <w:pStyle w:val="ListBullet"/>
      </w:pPr>
      <w:r>
        <w:t>The Legal team coordinates with Product Manager to maintain operational readiness.</w:t>
      </w:r>
    </w:p>
    <w:p>
      <w:pPr>
        <w:pStyle w:val="ListBullet"/>
      </w:pPr>
      <w:r>
        <w:t>Teams must log requests in Slack and track outcomes in Ticketing Platform for audit readiness.</w:t>
      </w:r>
    </w:p>
    <w:p>
      <w:pPr>
        <w:pStyle w:val="ListBullet"/>
      </w:pPr>
      <w:r>
        <w:t>Escalations should follow the on-call rotation with a response target of 45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