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Product APAC v1.1</w:t>
      </w:r>
    </w:p>
    <w:p>
      <w:r>
        <w:t>Department: Product</w:t>
      </w:r>
    </w:p>
    <w:p>
      <w:r>
        <w:t>Author: Alex Garcia</w:t>
      </w:r>
    </w:p>
    <w:p>
      <w:r>
        <w:t>Created date: 2024-07-27</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The process integrates with Ticketing Platform and depends on Kubernetes for telemetry signals. Regional teams in APAC follow the same policy with localized legal review. Risk acceptance must be documented and revalidated each quarter. Audit sampling occurs monthly and is summarized in leadership dashboards.</w:t>
      </w:r>
    </w:p>
    <w:p>
      <w:r>
        <w:t>This document aligns with HIPAA requirements and supports APAC data residency expectations. Stakeholders include the SRE, service owner, and compliance lead for approvals.</w:t>
      </w:r>
    </w:p>
    <w:p>
      <w:pPr>
        <w:pStyle w:val="ListBullet"/>
      </w:pPr>
      <w:r>
        <w:t>Escalations should follow the on-call rotation with a response target of 15 minutes.</w:t>
      </w:r>
    </w:p>
    <w:p>
      <w:pPr>
        <w:pStyle w:val="ListBullet"/>
      </w:pPr>
      <w:r>
        <w:t>All changes require peer review and validation in the Ticketing Platform before production promotion.</w:t>
      </w:r>
    </w:p>
    <w:p>
      <w:pPr>
        <w:pStyle w:val="ListBullet"/>
      </w:pPr>
      <w:r>
        <w:t>Teams must log requests in Zoom and track outcomes in Ticketing Platform for audit readiness.</w:t>
      </w:r>
    </w:p>
    <w:p>
      <w:pPr>
        <w:pStyle w:val="Heading1"/>
      </w:pPr>
      <w:r>
        <w:t>Networking</w:t>
      </w:r>
    </w:p>
    <w:p>
      <w:r>
        <w:t>Escalations should follow the on-call rotation with a response target of 15 minutes. Escalations should follow the on-call rotation with a response target of 15 minutes.</w:t>
      </w:r>
    </w:p>
    <w:p>
      <w:pPr>
        <w:pStyle w:val="ListBullet"/>
      </w:pPr>
      <w:r>
        <w:t>Risk acceptance must be documented and revalidated each quarter.</w:t>
      </w:r>
    </w:p>
    <w:p>
      <w:pPr>
        <w:pStyle w:val="ListBullet"/>
      </w:pPr>
      <w:r>
        <w:t>The Product organization uses Kubernetes to enforce consistent service baselines.</w:t>
      </w:r>
    </w:p>
    <w:p>
      <w:pPr>
        <w:pStyle w:val="ListBullet"/>
      </w:pPr>
      <w:r>
        <w:t>Regional teams in APAC follow the same policy with localized legal review.</w:t>
      </w:r>
    </w:p>
    <w:p>
      <w:pPr>
        <w:pStyle w:val="ListBullet"/>
      </w:pPr>
      <w:r>
        <w:t>Evidence artifacts are retained in Zoom for at least 18 months.</w:t>
      </w:r>
    </w:p>
    <w:p>
      <w:pPr>
        <w:pStyle w:val="ListBullet"/>
      </w:pPr>
      <w:r>
        <w:t>Systems are monitored via Kubernetes and alert routing in Zoom.</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Incident drill</w:t>
            </w:r>
          </w:p>
        </w:tc>
        <w:tc>
          <w:tcPr>
            <w:tcW w:type="dxa" w:w="2880"/>
          </w:tcPr>
          <w:p>
            <w:r>
              <w:t>Product</w:t>
            </w:r>
          </w:p>
        </w:tc>
        <w:tc>
          <w:tcPr>
            <w:tcW w:type="dxa" w:w="2880"/>
          </w:tcPr>
          <w:p>
            <w:r>
              <w:t>Complete</w:t>
            </w:r>
          </w:p>
        </w:tc>
      </w:tr>
    </w:tbl>
    <w:p>
      <w:pPr>
        <w:pStyle w:val="Heading1"/>
      </w:pPr>
      <w:r>
        <w:t>Identity and Access</w:t>
      </w:r>
    </w:p>
    <w:p>
      <w:r>
        <w:t>The Product organization uses Kubernetes to enforce consistent service baselines. The Product organization uses Kubernetes to enforce consistent service baselines.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Teams must log requests in Zoom and track outcomes in Ticketing Platform for audit readiness.</w:t>
      </w:r>
    </w:p>
    <w:p>
      <w:pPr>
        <w:pStyle w:val="ListBullet"/>
      </w:pPr>
      <w:r>
        <w:t>Stakeholders include the SRE, service owner, and compliance lead for approvals.</w:t>
      </w:r>
    </w:p>
    <w:p>
      <w:pPr>
        <w:pStyle w:val="ListBullet"/>
      </w:pPr>
      <w:r>
        <w:t>Evidence artifacts are retained in Zoom for at least 18 months.</w:t>
      </w:r>
    </w:p>
    <w:p>
      <w:pPr>
        <w:pStyle w:val="ListBullet"/>
      </w:pPr>
      <w:r>
        <w:t>The Product organization uses Kubernetes to enforce consistent service baselines.</w:t>
      </w:r>
    </w:p>
    <w:p>
      <w:pPr>
        <w:pStyle w:val="Heading1"/>
      </w:pPr>
      <w:r>
        <w:t>Backup and DR</w:t>
      </w:r>
    </w:p>
    <w:p>
      <w:r>
        <w:t>The Product team coordinates with SRE to maintain operational readiness. We prioritize customer impact, data integrity, and regulatory alignment. Risk acceptance must be documented and revalidated each quarter.</w:t>
      </w:r>
    </w:p>
    <w:p>
      <w:r>
        <w:t>Risk acceptance must be documented and revalidated each quarter. Risk acceptance must be documented and revalidated each quarter. We prioritize customer impact, data integrity, and regulatory alignment. Evidence artifacts are retained in Zoom for at least 18 months.</w:t>
      </w:r>
    </w:p>
    <w:p>
      <w:pPr>
        <w:pStyle w:val="ListBullet"/>
      </w:pPr>
      <w:r>
        <w:t>The Product team coordinates with SRE to maintain operational readiness.</w:t>
      </w:r>
    </w:p>
    <w:p>
      <w:pPr>
        <w:pStyle w:val="ListBullet"/>
      </w:pPr>
      <w:r>
        <w:t>Risk acceptance must be documented and revalidated each quarter.</w:t>
      </w:r>
    </w:p>
    <w:p>
      <w:pPr>
        <w:pStyle w:val="ListBullet"/>
      </w:pPr>
      <w:r>
        <w:t>This document aligns with HIPAA requirements and supports APAC data residency expectations.</w:t>
      </w:r>
    </w:p>
    <w:p>
      <w:pPr>
        <w:pStyle w:val="Heading1"/>
      </w:pPr>
      <w:r>
        <w:t>Cost Optimization</w:t>
      </w:r>
    </w:p>
    <w:p>
      <w:r>
        <w:t>Risk acceptance must be documented and revalidated each quarter. We prioritize customer impact, data integrity, and regulatory alignment. This document aligns with HIPAA requirements and supports APAC data residency expectations.</w:t>
      </w:r>
    </w:p>
    <w:p>
      <w:pPr>
        <w:pStyle w:val="ListBullet"/>
      </w:pPr>
      <w:r>
        <w:t>The Product team coordinates with SRE to maintain operational readiness.</w:t>
      </w:r>
    </w:p>
    <w:p>
      <w:pPr>
        <w:pStyle w:val="ListBullet"/>
      </w:pPr>
      <w:r>
        <w:t>Teams must log requests in Zoom and track outcomes in Ticketing Platform for audit readiness.</w:t>
      </w:r>
    </w:p>
    <w:p>
      <w:pPr>
        <w:pStyle w:val="ListBullet"/>
      </w:pPr>
      <w:r>
        <w:t>All changes require peer review and validation in the Ticketing Platform before production promotion.</w:t>
      </w:r>
    </w:p>
    <w:p>
      <w:pPr>
        <w:pStyle w:val="ListBullet"/>
      </w:pPr>
      <w:r>
        <w:t>This document aligns with HIPAA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Backup validation</w:t>
            </w:r>
          </w:p>
        </w:tc>
        <w:tc>
          <w:tcPr>
            <w:tcW w:type="dxa" w:w="2880"/>
          </w:tcPr>
          <w:p>
            <w:r>
              <w:t>Product</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