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Product EU v2.1</w:t>
      </w:r>
    </w:p>
    <w:p>
      <w:r>
        <w:t>Department: Product</w:t>
      </w:r>
    </w:p>
    <w:p>
      <w:r>
        <w:t>Author: Alex Nguyen</w:t>
      </w:r>
    </w:p>
    <w:p>
      <w:r>
        <w:t>Created date: 2024-02-18</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All incidents are tagged with severity and mapped to service tiers. Audit sampling occurs monthly and is summarized in leadership dashboards. All changes require peer review and validation in the Endpoint Management before production promotion.</w:t>
      </w:r>
    </w:p>
    <w:p>
      <w:r>
        <w:t>Regional teams in EU follow the same policy with localized legal review. Evidence artifacts are retained in Workday for at least 12 months. Risk acceptance must be documented and revalidated each quarter.</w:t>
      </w:r>
    </w:p>
    <w:p>
      <w:pPr>
        <w:pStyle w:val="ListBullet"/>
      </w:pPr>
      <w:r>
        <w:t>Teams must log requests in Workday and track outcomes in Endpoint Management for audit readiness.</w:t>
      </w:r>
    </w:p>
    <w:p>
      <w:pPr>
        <w:pStyle w:val="ListBullet"/>
      </w:pPr>
      <w:r>
        <w:t>Risk acceptance must be documented and revalidated each quarter.</w:t>
      </w:r>
    </w:p>
    <w:p>
      <w:pPr>
        <w:pStyle w:val="ListBullet"/>
      </w:pPr>
      <w:r>
        <w:t>Teams must log requests in Workday and track outcomes in Endpoint Management for audit readiness.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Blocked</w:t>
            </w:r>
          </w:p>
        </w:tc>
      </w:tr>
      <w:tr>
        <w:tc>
          <w:tcPr>
            <w:tcW w:type="dxa" w:w="2880"/>
          </w:tcPr>
          <w:p>
            <w:r>
              <w:t>Vendor check</w:t>
            </w:r>
          </w:p>
        </w:tc>
        <w:tc>
          <w:tcPr>
            <w:tcW w:type="dxa" w:w="2880"/>
          </w:tcPr>
          <w:p>
            <w:r>
              <w:t>Security</w:t>
            </w:r>
          </w:p>
        </w:tc>
        <w:tc>
          <w:tcPr>
            <w:tcW w:type="dxa" w:w="2880"/>
          </w:tcPr>
          <w:p>
            <w:r>
              <w:t>Blocked</w:t>
            </w:r>
          </w:p>
        </w:tc>
      </w:tr>
      <w:tr>
        <w:tc>
          <w:tcPr>
            <w:tcW w:type="dxa" w:w="2880"/>
          </w:tcPr>
          <w:p>
            <w:r>
              <w:t>Vendor check</w:t>
            </w:r>
          </w:p>
        </w:tc>
        <w:tc>
          <w:tcPr>
            <w:tcW w:type="dxa" w:w="2880"/>
          </w:tcPr>
          <w:p>
            <w:r>
              <w:t>Operations</w:t>
            </w:r>
          </w:p>
        </w:tc>
        <w:tc>
          <w:tcPr>
            <w:tcW w:type="dxa" w:w="2880"/>
          </w:tcPr>
          <w:p>
            <w:r>
              <w:t>Complete</w:t>
            </w:r>
          </w:p>
        </w:tc>
      </w:tr>
      <w:tr>
        <w:tc>
          <w:tcPr>
            <w:tcW w:type="dxa" w:w="2880"/>
          </w:tcPr>
          <w:p>
            <w:r>
              <w:t>Access review</w:t>
            </w:r>
          </w:p>
        </w:tc>
        <w:tc>
          <w:tcPr>
            <w:tcW w:type="dxa" w:w="2880"/>
          </w:tcPr>
          <w:p>
            <w:r>
              <w:t>Security</w:t>
            </w:r>
          </w:p>
        </w:tc>
        <w:tc>
          <w:tcPr>
            <w:tcW w:type="dxa" w:w="2880"/>
          </w:tcPr>
          <w:p>
            <w:r>
              <w:t>Complete</w:t>
            </w:r>
          </w:p>
        </w:tc>
      </w:tr>
    </w:tbl>
    <w:p>
      <w:pPr>
        <w:pStyle w:val="Heading1"/>
      </w:pPr>
      <w:r>
        <w:t>Networking</w:t>
      </w:r>
    </w:p>
    <w:p>
      <w:r>
        <w:t>The Product organization uses ServiceNow to enforce consistent service baselines. Regional teams in EU follow the same policy with localized legal review. Teams must log requests in Workday and track outcomes in Endpoint Management for audit readiness. Systems are monitored via ServiceNow and alert routing in Workday.</w:t>
      </w:r>
    </w:p>
    <w:p>
      <w:pPr>
        <w:pStyle w:val="ListBullet"/>
      </w:pPr>
      <w:r>
        <w:t>Regional teams in EU follow the same policy with localized legal review.</w:t>
      </w:r>
    </w:p>
    <w:p>
      <w:pPr>
        <w:pStyle w:val="ListBullet"/>
      </w:pPr>
      <w:r>
        <w:t>Systems are monitored via ServiceNow and alert routing in Workday.</w:t>
      </w:r>
    </w:p>
    <w:p>
      <w:pPr>
        <w:pStyle w:val="ListBullet"/>
      </w:pPr>
      <w:r>
        <w:t>All changes require peer review and validation in the Endpoint Management before production promotion.</w:t>
      </w:r>
    </w:p>
    <w:p>
      <w:pPr>
        <w:pStyle w:val="Heading1"/>
      </w:pPr>
      <w:r>
        <w:t>Identity and Access</w:t>
      </w:r>
    </w:p>
    <w:p>
      <w:r>
        <w:t>This document aligns with ISO 27001 requirements and supports EU data residency expectations. Stakeholders include the Product Manager, service owner, and compliance lead for approvals.</w:t>
      </w:r>
    </w:p>
    <w:p>
      <w:r>
        <w:t>The Product team coordinates with Product Manager to maintain operational readiness. The Product organization uses ServiceNow to enforce consistent service baselines. Risk acceptance must be documented and revalidated each quarter.</w:t>
      </w:r>
    </w:p>
    <w:p>
      <w:pPr>
        <w:pStyle w:val="ListBullet"/>
      </w:pPr>
      <w:r>
        <w:t>Escalations should follow the on-call rotation with a response target of 60 minutes.</w:t>
      </w:r>
    </w:p>
    <w:p>
      <w:pPr>
        <w:pStyle w:val="ListBullet"/>
      </w:pPr>
      <w:r>
        <w:t>All incidents are tagged with severity and mapped to service tiers.</w:t>
      </w:r>
    </w:p>
    <w:p>
      <w:pPr>
        <w:pStyle w:val="ListBullet"/>
      </w:pPr>
      <w:r>
        <w:t>Stakeholders include the Product Manager, service owner, and compliance lead for approvals.</w:t>
      </w:r>
    </w:p>
    <w:p>
      <w:pPr>
        <w:pStyle w:val="ListBullet"/>
      </w:pPr>
      <w:r>
        <w:t>We prioritize customer impact, data integrity, and regulatory alignment.</w:t>
      </w:r>
    </w:p>
    <w:p>
      <w:pPr>
        <w:pStyle w:val="ListBullet"/>
      </w:pPr>
      <w:r>
        <w:t>Escalations should follow the on-call rotation with a response target of 60 minutes.</w:t>
      </w:r>
    </w:p>
    <w:p>
      <w:pPr>
        <w:pStyle w:val="ListBullet"/>
      </w:pPr>
      <w:r>
        <w:t>Evidence artifacts are retained in Workday for at least 12 months.</w:t>
      </w:r>
    </w:p>
    <w:p>
      <w:pPr>
        <w:pStyle w:val="Heading1"/>
      </w:pPr>
      <w:r>
        <w:t>Backup and DR</w:t>
      </w:r>
    </w:p>
    <w:p>
      <w:r>
        <w:t>Stakeholders include the Product Manager, service owner, and compliance lead for approvals. The process integrates with Endpoint Management and depends on ServiceNow for telemetry signals. The Product team coordinates with Product Manager to maintain operational readiness.</w:t>
      </w:r>
    </w:p>
    <w:p>
      <w:pPr>
        <w:pStyle w:val="ListBullet"/>
      </w:pPr>
      <w:r>
        <w:t>Risk acceptance must be documented and revalidated each quarter.</w:t>
      </w:r>
    </w:p>
    <w:p>
      <w:pPr>
        <w:pStyle w:val="ListBullet"/>
      </w:pPr>
      <w:r>
        <w:t>Escalations should follow the on-call rotation with a response target of 60 minutes.</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All incidents are tagged with severity and mapped to service tiers.</w:t>
      </w:r>
    </w:p>
    <w:p>
      <w:pPr>
        <w:pStyle w:val="Heading1"/>
      </w:pPr>
      <w:r>
        <w:t>Cost Optimization</w:t>
      </w:r>
    </w:p>
    <w:p>
      <w:r>
        <w:t>Regional teams in EU follow the same policy with localized legal review. Escalations should follow the on-call rotation with a response target of 60 minutes.</w:t>
      </w:r>
    </w:p>
    <w:p>
      <w:pPr>
        <w:pStyle w:val="ListBullet"/>
      </w:pPr>
      <w:r>
        <w:t>All incidents are tagged with severity and mapped to service tiers.</w:t>
      </w:r>
    </w:p>
    <w:p>
      <w:pPr>
        <w:pStyle w:val="ListBullet"/>
      </w:pPr>
      <w:r>
        <w:t>Escalations should follow the on-call rotation with a response target of 60 minutes.</w:t>
      </w:r>
    </w:p>
    <w:p>
      <w:pPr>
        <w:pStyle w:val="ListBullet"/>
      </w:pPr>
      <w:r>
        <w:t>Regional teams in EU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Product Manager</w:t>
            </w:r>
          </w:p>
        </w:tc>
        <w:tc>
          <w:tcPr>
            <w:tcW w:type="dxa" w:w="2880"/>
          </w:tcPr>
          <w:p>
            <w:r>
              <w:t>Blocked</w:t>
            </w:r>
          </w:p>
        </w:tc>
      </w:tr>
      <w:tr>
        <w:tc>
          <w:tcPr>
            <w:tcW w:type="dxa" w:w="2880"/>
          </w:tcPr>
          <w:p>
            <w:r>
              <w:t>Backup validation</w:t>
            </w:r>
          </w:p>
        </w:tc>
        <w:tc>
          <w:tcPr>
            <w:tcW w:type="dxa" w:w="2880"/>
          </w:tcPr>
          <w:p>
            <w:r>
              <w:t>Product Manager</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