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Product US v1.1</w:t>
      </w:r>
    </w:p>
    <w:p>
      <w:r>
        <w:t>Department: Product</w:t>
      </w:r>
    </w:p>
    <w:p>
      <w:r>
        <w:t>Author: Avery Smith</w:t>
      </w:r>
    </w:p>
    <w:p>
      <w:r>
        <w:t>Created date: 2025-06-25</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incidents are tagged with severity and mapped to service tiers. Teams must log requests in Salesforce and track outcomes in Payment Processing Service for audit readiness. This document aligns with ISO 27001 requirements and supports US data residency expectations. Stakeholders include the Product Manager, service owner, and compliance lead for approvals.</w:t>
      </w:r>
    </w:p>
    <w:p>
      <w:r>
        <w:t>We prioritize customer impact, data integrity, and regulatory alignment. The Product organization uses Redis to enforce consistent service baselines. Escalations should follow the on-call rotation with a response target of 30 minutes.</w:t>
      </w:r>
    </w:p>
    <w:p>
      <w:pPr>
        <w:pStyle w:val="ListBullet"/>
      </w:pPr>
      <w:r>
        <w:t>Stakeholders include the Product Manager, service owner, and compliance lead for approvals.</w:t>
      </w:r>
    </w:p>
    <w:p>
      <w:pPr>
        <w:pStyle w:val="ListBullet"/>
      </w:pPr>
      <w:r>
        <w:t>This document aligns with ISO 27001 requirements and supports US data residency expectations.</w:t>
      </w:r>
    </w:p>
    <w:p>
      <w:pPr>
        <w:pStyle w:val="ListBullet"/>
      </w:pPr>
      <w:r>
        <w:t>All incidents are tagged with severity and mapped to service tiers.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Product Manager</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bl>
    <w:p>
      <w:pPr>
        <w:pStyle w:val="Heading1"/>
      </w:pPr>
      <w:r>
        <w:t>Networking</w:t>
      </w:r>
    </w:p>
    <w:p>
      <w:r>
        <w:t>Teams must log requests in Salesforce and track outcomes in Payment Processing Service for audit readiness. All incidents are tagged with severity and mapped to service tiers.</w:t>
      </w:r>
    </w:p>
    <w:p>
      <w:r>
        <w:t>Teams must log requests in Salesforce and track outcomes in Payment Processing Service for audit readiness. Evidence artifacts are retained in Salesforce for at least 18 months. All changes require peer review and validation in the Payment Processing Service before production promotion. Teams must log requests in Salesforce and track outcomes in Payment Processing Service for audit readiness.</w:t>
      </w:r>
    </w:p>
    <w:p>
      <w:pPr>
        <w:pStyle w:val="ListBullet"/>
      </w:pPr>
      <w:r>
        <w:t>All changes require peer review and validation in the Payment Processing Service before production promotion.</w:t>
      </w:r>
    </w:p>
    <w:p>
      <w:pPr>
        <w:pStyle w:val="ListBullet"/>
      </w:pPr>
      <w:r>
        <w:t>Regional teams in US follow the same policy with localized legal review.</w:t>
      </w:r>
    </w:p>
    <w:p>
      <w:pPr>
        <w:pStyle w:val="ListBullet"/>
      </w:pPr>
      <w:r>
        <w:t>Stakeholders include the Product Manager, service owner, and compliance lead for approvals.</w:t>
      </w:r>
    </w:p>
    <w:p>
      <w:pPr>
        <w:pStyle w:val="ListBullet"/>
      </w:pPr>
      <w:r>
        <w:t>Evidence artifacts are retained in Salesforce for at least 18 months.</w:t>
      </w:r>
    </w:p>
    <w:p>
      <w:pPr>
        <w:pStyle w:val="ListBullet"/>
      </w:pPr>
      <w:r>
        <w:t>Regional teams in US follow the same policy with localized legal review.</w:t>
      </w:r>
    </w:p>
    <w:p>
      <w:pPr>
        <w:pStyle w:val="ListBullet"/>
      </w:pPr>
      <w:r>
        <w:t>The Product organization uses Redis to enforce consistent service baselines.</w:t>
      </w:r>
    </w:p>
    <w:p>
      <w:pPr>
        <w:pStyle w:val="Heading1"/>
      </w:pPr>
      <w:r>
        <w:t>Identity and Access</w:t>
      </w:r>
    </w:p>
    <w:p>
      <w:r>
        <w:t>The Product team coordinates with Product Manager to maintain operational readiness. The process integrates with Payment Processing Service and depends on Redis for telemetry signals. Stakeholders include the Product Manager, service owner, and compliance lead for approvals.</w:t>
      </w:r>
    </w:p>
    <w:p>
      <w:r>
        <w:t>Systems are monitored via Redis and alert routing in Salesforce. Escalations should follow the on-call rotation with a response target of 30 minutes.</w:t>
      </w:r>
    </w:p>
    <w:p>
      <w:pPr>
        <w:pStyle w:val="ListBullet"/>
      </w:pPr>
      <w:r>
        <w:t>The Product team coordinates with Product Manager to maintain operational readiness.</w:t>
      </w:r>
    </w:p>
    <w:p>
      <w:pPr>
        <w:pStyle w:val="ListBullet"/>
      </w:pPr>
      <w:r>
        <w:t>The process integrates with Payment Processing Service and depends on Redis for telemetry signals.</w:t>
      </w:r>
    </w:p>
    <w:p>
      <w:pPr>
        <w:pStyle w:val="ListBullet"/>
      </w:pPr>
      <w:r>
        <w:t>The Product organization uses Redis to enforce consistent service baselines.</w:t>
      </w:r>
    </w:p>
    <w:p>
      <w:pPr>
        <w:pStyle w:val="ListBullet"/>
      </w:pPr>
      <w:r>
        <w:t>Teams must log requests in Salesforce and track outcomes in Payment Processing Service for audit readiness.</w:t>
      </w:r>
    </w:p>
    <w:p>
      <w:pPr>
        <w:pStyle w:val="ListBullet"/>
      </w:pPr>
      <w:r>
        <w:t>Stakeholders include the Product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Access review</w:t>
            </w:r>
          </w:p>
        </w:tc>
        <w:tc>
          <w:tcPr>
            <w:tcW w:type="dxa" w:w="2880"/>
          </w:tcPr>
          <w:p>
            <w:r>
              <w:t>Product</w:t>
            </w:r>
          </w:p>
        </w:tc>
        <w:tc>
          <w:tcPr>
            <w:tcW w:type="dxa" w:w="2880"/>
          </w:tcPr>
          <w:p>
            <w:r>
              <w:t>Blocked</w:t>
            </w:r>
          </w:p>
        </w:tc>
      </w:tr>
    </w:tbl>
    <w:p>
      <w:pPr>
        <w:pStyle w:val="Heading1"/>
      </w:pPr>
      <w:r>
        <w:t>Backup and DR</w:t>
      </w:r>
    </w:p>
    <w:p>
      <w:r>
        <w:t>Stakeholders include the Product Manager, service owner, and compliance lead for approvals. Evidence artifacts are retained in Salesforce for at least 18 months. The process integrates with Payment Processing Service and depends on Redis for telemetry signals.</w:t>
      </w:r>
    </w:p>
    <w:p>
      <w:pPr>
        <w:pStyle w:val="ListBullet"/>
      </w:pPr>
      <w:r>
        <w:t>Escalations should follow the on-call rotation with a response target of 30 minutes.</w:t>
      </w:r>
    </w:p>
    <w:p>
      <w:pPr>
        <w:pStyle w:val="ListBullet"/>
      </w:pPr>
      <w:r>
        <w:t>This document aligns with ISO 27001 requirements and supports US data residency expectations.</w:t>
      </w:r>
    </w:p>
    <w:p>
      <w:pPr>
        <w:pStyle w:val="ListBullet"/>
      </w:pPr>
      <w:r>
        <w:t>Evidence artifacts are retained in Salesforce for at least 18 months.</w:t>
      </w:r>
    </w:p>
    <w:p>
      <w:pPr>
        <w:pStyle w:val="ListBullet"/>
      </w:pPr>
      <w:r>
        <w:t>Regional teams in US follow the same policy with localized legal review.</w:t>
      </w:r>
    </w:p>
    <w:p>
      <w:pPr>
        <w:pStyle w:val="ListBullet"/>
      </w:pPr>
      <w:r>
        <w:t>Systems are monitored via Redis and alert routing in Salesforce.</w:t>
      </w:r>
    </w:p>
    <w:p>
      <w:pPr>
        <w:pStyle w:val="ListBullet"/>
      </w:pPr>
      <w:r>
        <w:t>Evidence artifacts are retained in Salesforce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 Manager</w:t>
            </w:r>
          </w:p>
        </w:tc>
        <w:tc>
          <w:tcPr>
            <w:tcW w:type="dxa" w:w="2880"/>
          </w:tcPr>
          <w:p>
            <w:r>
              <w:t>Complete</w:t>
            </w:r>
          </w:p>
        </w:tc>
      </w:tr>
      <w:tr>
        <w:tc>
          <w:tcPr>
            <w:tcW w:type="dxa" w:w="2880"/>
          </w:tcPr>
          <w:p>
            <w:r>
              <w:t>Incident drill</w:t>
            </w:r>
          </w:p>
        </w:tc>
        <w:tc>
          <w:tcPr>
            <w:tcW w:type="dxa" w:w="2880"/>
          </w:tcPr>
          <w:p>
            <w:r>
              <w:t>Product Manager</w:t>
            </w:r>
          </w:p>
        </w:tc>
        <w:tc>
          <w:tcPr>
            <w:tcW w:type="dxa" w:w="2880"/>
          </w:tcPr>
          <w:p>
            <w:r>
              <w:t>In Progress</w:t>
            </w:r>
          </w:p>
        </w:tc>
      </w:tr>
      <w:tr>
        <w:tc>
          <w:tcPr>
            <w:tcW w:type="dxa" w:w="2880"/>
          </w:tcPr>
          <w:p>
            <w:r>
              <w:t>Patch window</w:t>
            </w:r>
          </w:p>
        </w:tc>
        <w:tc>
          <w:tcPr>
            <w:tcW w:type="dxa" w:w="2880"/>
          </w:tcPr>
          <w:p>
            <w:r>
              <w:t>Security</w:t>
            </w:r>
          </w:p>
        </w:tc>
        <w:tc>
          <w:tcPr>
            <w:tcW w:type="dxa" w:w="2880"/>
          </w:tcPr>
          <w:p>
            <w:r>
              <w:t>Blocked</w:t>
            </w:r>
          </w:p>
        </w:tc>
      </w:tr>
    </w:tbl>
    <w:p>
      <w:pPr>
        <w:pStyle w:val="Heading1"/>
      </w:pPr>
      <w:r>
        <w:t>Cost Optimization</w:t>
      </w:r>
    </w:p>
    <w:p>
      <w:r>
        <w:t>The Product organization uses Redis to enforce consistent service baselines. Risk acceptance must be documented and revalidated each quarter. Risk acceptance must be documented and revalidated each quarter. Evidence artifacts are retained in Salesforce for at least 18 months.</w:t>
      </w:r>
    </w:p>
    <w:p>
      <w:r>
        <w:t>Systems are monitored via Redis and alert routing in Salesforce. The Product team coordinates with Product Manager to maintain operational readiness.</w:t>
      </w:r>
    </w:p>
    <w:p>
      <w:pPr>
        <w:pStyle w:val="ListBullet"/>
      </w:pPr>
      <w:r>
        <w:t>Teams must log requests in Salesforce and track outcomes in Payment Processing Service for audit readiness.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All changes require peer review and validation in the Payment Processing Service before production promotion.</w:t>
      </w:r>
    </w:p>
    <w:p>
      <w:pPr>
        <w:pStyle w:val="ListBullet"/>
      </w:pPr>
      <w:r>
        <w:t>This document aligns with ISO 27001 requirements and supports US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