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Compliance Documents - Cloud Infrastructure US v3.0</w:t>
      </w:r>
    </w:p>
    <w:p>
      <w:r>
        <w:t>Department: Cloud Infrastructure</w:t>
      </w:r>
    </w:p>
    <w:p>
      <w:r>
        <w:t>Author: Morgan Kim</w:t>
      </w:r>
    </w:p>
    <w:p>
      <w:r>
        <w:t>Created date: 2024-03-18</w:t>
      </w:r>
    </w:p>
    <w:p>
      <w:r>
        <w:t>Region: US</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Compliance Objective</w:t>
      </w:r>
    </w:p>
    <w:p>
      <w:r>
        <w:t>This document aligns with GDPR requirements and supports US data residency expectations. Teams must log requests in Microsoft 365 and track outcomes in Identity Access Gateway for audit readiness. The Cloud Infrastructure team coordinates with Systems Engineer to maintain operational readiness. Teams must log requests in Microsoft 365 and track outcomes in Identity Access Gateway for audit readiness.</w:t>
      </w:r>
    </w:p>
    <w:p>
      <w:r>
        <w:t>This document aligns with GDPR requirements and supports US data residency expectations. The process integrates with Identity Access Gateway and depends on Prometheus for telemetry signals.</w:t>
      </w:r>
    </w:p>
    <w:p>
      <w:pPr>
        <w:pStyle w:val="ListBullet"/>
      </w:pPr>
      <w:r>
        <w:t>The Cloud Infrastructure team coordinates with Systems Engineer to maintain operational readiness.</w:t>
      </w:r>
    </w:p>
    <w:p>
      <w:pPr>
        <w:pStyle w:val="ListBullet"/>
      </w:pPr>
      <w:r>
        <w:t>Teams must log requests in Microsoft 365 and track outcomes in Identity Access Gateway for audit readiness.</w:t>
      </w:r>
    </w:p>
    <w:p>
      <w:pPr>
        <w:pStyle w:val="ListBullet"/>
      </w:pPr>
      <w:r>
        <w:t>The process integrates with Identity Access Gateway and depends on Prometheus for telemetry signals.</w:t>
      </w:r>
    </w:p>
    <w:p>
      <w:pPr>
        <w:pStyle w:val="ListBullet"/>
      </w:pPr>
      <w:r>
        <w:t>Evidence artifacts are retained in Microsoft 365 for at least 36 months.</w:t>
      </w:r>
    </w:p>
    <w:p>
      <w:pPr>
        <w:pStyle w:val="ListBullet"/>
      </w:pPr>
      <w:r>
        <w:t>Stakeholders include the Systems Engineer, service owner, and compliance lead for approvals.</w:t>
      </w:r>
    </w:p>
    <w:p>
      <w:pPr>
        <w:pStyle w:val="Heading1"/>
      </w:pPr>
      <w:r>
        <w:t>Control Mapping</w:t>
      </w:r>
    </w:p>
    <w:p>
      <w:r>
        <w:t>All changes require peer review and validation in the Identity Access Gateway before production promotion. Stakeholders include the Systems Engineer, service owner, and compliance lead for approvals.</w:t>
      </w:r>
    </w:p>
    <w:p>
      <w:pPr>
        <w:pStyle w:val="ListBullet"/>
      </w:pPr>
      <w:r>
        <w:t>The process integrates with Identity Access Gateway and depends on Prometheus for telemetry signals.</w:t>
      </w:r>
    </w:p>
    <w:p>
      <w:pPr>
        <w:pStyle w:val="ListBullet"/>
      </w:pPr>
      <w:r>
        <w:t>We prioritize customer impact, data integrity, and regulatory alignment.</w:t>
      </w:r>
    </w:p>
    <w:p>
      <w:pPr>
        <w:pStyle w:val="ListBullet"/>
      </w:pPr>
      <w:r>
        <w:t>Teams must log requests in Microsoft 365 and track outcomes in Identity Access Gateway for audit readiness.</w:t>
      </w:r>
    </w:p>
    <w:p>
      <w:pPr>
        <w:pStyle w:val="Heading1"/>
      </w:pPr>
      <w:r>
        <w:t>Evidence Collection</w:t>
      </w:r>
    </w:p>
    <w:p>
      <w:r>
        <w:t>Teams must log requests in Microsoft 365 and track outcomes in Identity Access Gateway for audit readiness. The process integrates with Identity Access Gateway and depends on Prometheus for telemetry signals. Risk acceptance must be documented and revalidated each quarter.</w:t>
      </w:r>
    </w:p>
    <w:p>
      <w:r>
        <w:t>Evidence artifacts are retained in Microsoft 365 for at least 36 months. Systems are monitored via Prometheus and alert routing in Microsoft 365.</w:t>
      </w:r>
    </w:p>
    <w:p>
      <w:pPr>
        <w:pStyle w:val="ListBullet"/>
      </w:pPr>
      <w:r>
        <w:t>Regional teams in US follow the same policy with localized legal review.</w:t>
      </w:r>
    </w:p>
    <w:p>
      <w:pPr>
        <w:pStyle w:val="ListBullet"/>
      </w:pPr>
      <w:r>
        <w:t>Escalations should follow the on-call rotation with a response target of 60 minutes.</w:t>
      </w:r>
    </w:p>
    <w:p>
      <w:pPr>
        <w:pStyle w:val="ListBullet"/>
      </w:pPr>
      <w:r>
        <w:t>The Cloud Infrastructure team coordinates with Systems Engineer to maintain operational readiness.</w:t>
      </w:r>
    </w:p>
    <w:p>
      <w:pPr>
        <w:pStyle w:val="ListBullet"/>
      </w:pPr>
      <w:r>
        <w:t>Evidence artifacts are retained in Microsoft 365 for at least 36 months.</w:t>
      </w:r>
    </w:p>
    <w:p>
      <w:pPr>
        <w:pStyle w:val="Heading1"/>
      </w:pPr>
      <w:r>
        <w:t>Testing Procedures</w:t>
      </w:r>
    </w:p>
    <w:p>
      <w:r>
        <w:t>The process integrates with Identity Access Gateway and depends on Prometheus for telemetry signals. We prioritize customer impact, data integrity, and regulatory alignment. We prioritize customer impact, data integrity, and regulatory alignment.</w:t>
      </w:r>
    </w:p>
    <w:p>
      <w:r>
        <w:t>Audit sampling occurs monthly and is summarized in leadership dashboards. Evidence artifacts are retained in Microsoft 365 for at least 36 months. The process integrates with Identity Access Gateway and depends on Prometheus for telemetry signals. Escalations should follow the on-call rotation with a response target of 60 minutes.</w:t>
      </w:r>
    </w:p>
    <w:p>
      <w:pPr>
        <w:pStyle w:val="ListBullet"/>
      </w:pPr>
      <w:r>
        <w:t>Regional teams in US follow the same policy with localized legal review.</w:t>
      </w:r>
    </w:p>
    <w:p>
      <w:pPr>
        <w:pStyle w:val="ListBullet"/>
      </w:pPr>
      <w:r>
        <w:t>Regional teams in US follow the same policy with localized legal review.</w:t>
      </w:r>
    </w:p>
    <w:p>
      <w:pPr>
        <w:pStyle w:val="ListBullet"/>
      </w:pPr>
      <w:r>
        <w:t>This document aligns with GDPR requirements and supports US data residency expectations.</w:t>
      </w:r>
    </w:p>
    <w:p>
      <w:pPr>
        <w:pStyle w:val="ListBullet"/>
      </w:pPr>
      <w:r>
        <w:t>Teams must log requests in Microsoft 365 and track outcomes in Identity Access Gateway for audit readiness.</w:t>
      </w:r>
    </w:p>
    <w:p>
      <w:pPr>
        <w:pStyle w:val="ListBullet"/>
      </w:pPr>
      <w:r>
        <w:t>Systems are monitored via Prometheus and alert routing in Microsoft 365.</w:t>
      </w:r>
    </w:p>
    <w:p>
      <w:pPr>
        <w:pStyle w:val="Heading1"/>
      </w:pPr>
      <w:r>
        <w:t>Reporting</w:t>
      </w:r>
    </w:p>
    <w:p>
      <w:r>
        <w:t>This document aligns with GDPR requirements and supports US data residency expectations. This document aligns with GDPR requirements and supports US data residency expectations. Stakeholders include the Systems Engineer, service owner, and compliance lead for approvals.</w:t>
      </w:r>
    </w:p>
    <w:p>
      <w:r>
        <w:t>The Cloud Infrastructure organization uses Prometheus to enforce consistent service baselines. Regional teams in US follow the same policy with localized legal review.</w:t>
      </w:r>
    </w:p>
    <w:p>
      <w:pPr>
        <w:pStyle w:val="ListBullet"/>
      </w:pPr>
      <w:r>
        <w:t>Evidence artifacts are retained in Microsoft 365 for at least 36 months.</w:t>
      </w:r>
    </w:p>
    <w:p>
      <w:pPr>
        <w:pStyle w:val="ListBullet"/>
      </w:pPr>
      <w:r>
        <w:t>The Cloud Infrastructure organization uses Prometheus to enforce consistent service baselines.</w:t>
      </w:r>
    </w:p>
    <w:p>
      <w:pPr>
        <w:pStyle w:val="ListBullet"/>
      </w:pPr>
      <w:r>
        <w:t>This document aligns with GDPR requirements and supports US data residency expectations.</w:t>
      </w:r>
    </w:p>
    <w:p>
      <w:pPr>
        <w:pStyle w:val="ListBullet"/>
      </w:pPr>
      <w:r>
        <w:t>We prioritize customer impact, data integrity, and regulatory alignment.</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Access review</w:t>
            </w:r>
          </w:p>
        </w:tc>
        <w:tc>
          <w:tcPr>
            <w:tcW w:type="dxa" w:w="2880"/>
          </w:tcPr>
          <w:p>
            <w:r>
              <w:t>Security</w:t>
            </w:r>
          </w:p>
        </w:tc>
        <w:tc>
          <w:tcPr>
            <w:tcW w:type="dxa" w:w="2880"/>
          </w:tcPr>
          <w:p>
            <w:r>
              <w:t>In Progress</w:t>
            </w:r>
          </w:p>
        </w:tc>
      </w:tr>
      <w:tr>
        <w:tc>
          <w:tcPr>
            <w:tcW w:type="dxa" w:w="2880"/>
          </w:tcPr>
          <w:p>
            <w:r>
              <w:t>Access review</w:t>
            </w:r>
          </w:p>
        </w:tc>
        <w:tc>
          <w:tcPr>
            <w:tcW w:type="dxa" w:w="2880"/>
          </w:tcPr>
          <w:p>
            <w:r>
              <w:t>Systems Engineer</w:t>
            </w:r>
          </w:p>
        </w:tc>
        <w:tc>
          <w:tcPr>
            <w:tcW w:type="dxa" w:w="2880"/>
          </w:tcPr>
          <w:p>
            <w:r>
              <w:t>Complete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