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Compliance APAC v1.0</w:t>
      </w:r>
    </w:p>
    <w:p>
      <w:r>
        <w:t>Department: Compliance</w:t>
      </w:r>
    </w:p>
    <w:p>
      <w:r>
        <w:t>Author: Morgan Lee</w:t>
      </w:r>
    </w:p>
    <w:p>
      <w:r>
        <w:t>Created date: 2025-02-25</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Systems are monitored via Redis and alert routing in Confluence. We prioritize customer impact, data integrity, and regulatory alignment.</w:t>
      </w:r>
    </w:p>
    <w:p>
      <w:pPr>
        <w:pStyle w:val="ListBullet"/>
      </w:pPr>
      <w:r>
        <w:t>All incidents are tagged with severity and mapped to service tiers.</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All changes require peer review and validation in the Customer Data Lake before production promotion.</w:t>
      </w:r>
    </w:p>
    <w:p>
      <w:pPr>
        <w:pStyle w:val="ListBullet"/>
      </w:pPr>
      <w:r>
        <w:t>Evidence artifacts are retained in Confluence for at least 24 months.</w:t>
      </w:r>
    </w:p>
    <w:p>
      <w:pPr>
        <w:pStyle w:val="ListBullet"/>
      </w:pPr>
      <w:r>
        <w:t>This document aligns with GDPR requirements and supports APAC data residency expectations.</w:t>
      </w:r>
    </w:p>
    <w:p>
      <w:pPr>
        <w:pStyle w:val="Heading1"/>
      </w:pPr>
      <w:r>
        <w:t>Control Mapping</w:t>
      </w:r>
    </w:p>
    <w:p>
      <w:r>
        <w:t>Evidence artifacts are retained in Confluence for at least 24 months. Systems are monitored via Redis and alert routing in Confluence.</w:t>
      </w:r>
    </w:p>
    <w:p>
      <w:pPr>
        <w:pStyle w:val="ListBullet"/>
      </w:pPr>
      <w:r>
        <w:t>Audit sampling occurs monthly and is summarized in leadership dashboards.</w:t>
      </w:r>
    </w:p>
    <w:p>
      <w:pPr>
        <w:pStyle w:val="ListBullet"/>
      </w:pPr>
      <w:r>
        <w:t>Regional teams in APAC follow the same policy with localized legal review.</w:t>
      </w:r>
    </w:p>
    <w:p>
      <w:pPr>
        <w:pStyle w:val="ListBullet"/>
      </w:pPr>
      <w:r>
        <w:t>Systems are monitored via Redis and alert routing in Confluence.</w:t>
      </w:r>
    </w:p>
    <w:p>
      <w:pPr>
        <w:pStyle w:val="ListBullet"/>
      </w:pPr>
      <w:r>
        <w:t>Escalations should follow the on-call rotation with a response target of 15 minutes.</w:t>
      </w:r>
    </w:p>
    <w:p>
      <w:pPr>
        <w:pStyle w:val="ListBullet"/>
      </w:pPr>
      <w:r>
        <w:t>Systems are monitored via Redis and alert routing in Confluence.</w:t>
      </w:r>
    </w:p>
    <w:p>
      <w:pPr>
        <w:pStyle w:val="ListBullet"/>
      </w:pPr>
      <w:r>
        <w:t>This document aligns with GDPR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Complete</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Vendor check</w:t>
            </w:r>
          </w:p>
        </w:tc>
        <w:tc>
          <w:tcPr>
            <w:tcW w:type="dxa" w:w="2880"/>
          </w:tcPr>
          <w:p>
            <w:r>
              <w:t>Compliance</w:t>
            </w:r>
          </w:p>
        </w:tc>
        <w:tc>
          <w:tcPr>
            <w:tcW w:type="dxa" w:w="2880"/>
          </w:tcPr>
          <w:p>
            <w:r>
              <w:t>Planned</w:t>
            </w:r>
          </w:p>
        </w:tc>
      </w:tr>
    </w:tbl>
    <w:p>
      <w:pPr>
        <w:pStyle w:val="Heading1"/>
      </w:pPr>
      <w:r>
        <w:t>Evidence Collection</w:t>
      </w:r>
    </w:p>
    <w:p>
      <w:r>
        <w:t>Audit sampling occurs monthly and is summarized in leadership dashboards. Teams must log requests in Confluence and track outcomes in Customer Data Lake for audit readiness.</w:t>
      </w:r>
    </w:p>
    <w:p>
      <w:pPr>
        <w:pStyle w:val="ListBullet"/>
      </w:pPr>
      <w:r>
        <w:t>All changes require peer review and validation in the Customer Data Lake before production promotion.</w:t>
      </w:r>
    </w:p>
    <w:p>
      <w:pPr>
        <w:pStyle w:val="ListBullet"/>
      </w:pPr>
      <w:r>
        <w:t>Systems are monitored via Redis and alert routing in Confluence.</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Compliance Manager</w:t>
            </w:r>
          </w:p>
        </w:tc>
        <w:tc>
          <w:tcPr>
            <w:tcW w:type="dxa" w:w="2880"/>
          </w:tcPr>
          <w:p>
            <w:r>
              <w:t>Planned</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Vendor check</w:t>
            </w:r>
          </w:p>
        </w:tc>
        <w:tc>
          <w:tcPr>
            <w:tcW w:type="dxa" w:w="2880"/>
          </w:tcPr>
          <w:p>
            <w:r>
              <w:t>Operations</w:t>
            </w:r>
          </w:p>
        </w:tc>
        <w:tc>
          <w:tcPr>
            <w:tcW w:type="dxa" w:w="2880"/>
          </w:tcPr>
          <w:p>
            <w:r>
              <w:t>Blocked</w:t>
            </w:r>
          </w:p>
        </w:tc>
      </w:tr>
    </w:tbl>
    <w:p>
      <w:pPr>
        <w:pStyle w:val="Heading1"/>
      </w:pPr>
      <w:r>
        <w:t>Testing Procedures</w:t>
      </w:r>
    </w:p>
    <w:p>
      <w:r>
        <w:t>The Compliance team coordinates with Compliance Manager to maintain operational readiness. Audit sampling occurs monthly and is summarized in leadership dashboards. We prioritize customer impact, data integrity, and regulatory alignment. This document aligns with GDPR requirements and supports APAC data residency expectations.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Teams must log requests in Confluence and track outcomes in Customer Data Lake for audit readiness.</w:t>
      </w:r>
    </w:p>
    <w:p>
      <w:pPr>
        <w:pStyle w:val="ListBullet"/>
      </w:pPr>
      <w:r>
        <w:t>Risk acceptance must be documented and revalidated each quarter.</w:t>
      </w:r>
    </w:p>
    <w:p>
      <w:pPr>
        <w:pStyle w:val="ListBullet"/>
      </w:pPr>
      <w:r>
        <w:t>Audit sampling occurs monthly and is summarized in leadership dashboards.</w:t>
      </w:r>
    </w:p>
    <w:p>
      <w:pPr>
        <w:pStyle w:val="Heading1"/>
      </w:pPr>
      <w:r>
        <w:t>Reporting</w:t>
      </w:r>
    </w:p>
    <w:p>
      <w:r>
        <w:t>Stakeholders include the Compliance Manager, service owner, and compliance lead for approvals. Evidence artifacts are retained in Confluence for at least 24 months.</w:t>
      </w:r>
    </w:p>
    <w:p>
      <w:r>
        <w:t>Escalations should follow the on-call rotation with a response target of 15 minutes. All changes require peer review and validation in the Customer Data Lake before production promotion.</w:t>
      </w:r>
    </w:p>
    <w:p>
      <w:pPr>
        <w:pStyle w:val="ListBullet"/>
      </w:pPr>
      <w:r>
        <w:t>Escalations should follow the on-call rotation with a response target of 15 minutes.</w:t>
      </w:r>
    </w:p>
    <w:p>
      <w:pPr>
        <w:pStyle w:val="ListBullet"/>
      </w:pPr>
      <w:r>
        <w:t>Systems are monitored via Redis and alert routing in Confluence.</w:t>
      </w:r>
    </w:p>
    <w:p>
      <w:pPr>
        <w:pStyle w:val="ListBullet"/>
      </w:pPr>
      <w:r>
        <w:t>Systems are monitored via Redis and alert routing in Confluence.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