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Documents - Compliance US v3.0</w:t>
      </w:r>
    </w:p>
    <w:p>
      <w:r>
        <w:t>Department: Compliance</w:t>
      </w:r>
    </w:p>
    <w:p>
      <w:r>
        <w:t>Author: Casey Nguyen</w:t>
      </w:r>
    </w:p>
    <w:p>
      <w:r>
        <w:t>Created date: 2025-09-14</w:t>
      </w:r>
    </w:p>
    <w:p>
      <w:r>
        <w:t>Region: US</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Compliance Objective</w:t>
      </w:r>
    </w:p>
    <w:p>
      <w:r>
        <w:t>The process integrates with Monitoring Stack and depends on Azure AD for telemetry signals. Audit sampling occurs monthly and is summarized in leadership dashboards.</w:t>
      </w:r>
    </w:p>
    <w:p>
      <w:r>
        <w:t>The process integrates with Monitoring Stack and depends on Azure AD for telemetry signals. This document aligns with SOX requirements and supports US data residency expectations.</w:t>
      </w:r>
    </w:p>
    <w:p>
      <w:pPr>
        <w:pStyle w:val="ListBullet"/>
      </w:pPr>
      <w:r>
        <w:t>This document aligns with SOX requirements and supports US data residency expectations.</w:t>
      </w:r>
    </w:p>
    <w:p>
      <w:pPr>
        <w:pStyle w:val="ListBullet"/>
      </w:pPr>
      <w:r>
        <w:t>Teams must log requests in GitHub Enterprise and track outcomes in Monitoring Stack for audit readiness.</w:t>
      </w:r>
    </w:p>
    <w:p>
      <w:pPr>
        <w:pStyle w:val="ListBullet"/>
      </w:pPr>
      <w:r>
        <w:t>The process integrates with Monitoring Stack and depends on Azure AD for telemetry signals.</w:t>
      </w:r>
    </w:p>
    <w:p>
      <w:pPr>
        <w:pStyle w:val="ListBullet"/>
      </w:pPr>
      <w:r>
        <w:t>We prioritize customer impact, data integrity, and regulatory alignment.</w:t>
      </w:r>
    </w:p>
    <w:p>
      <w:pPr>
        <w:pStyle w:val="ListBullet"/>
      </w:pPr>
      <w:r>
        <w:t>All changes require peer review and validation in the Monitoring Stack before production promotion.</w:t>
      </w:r>
    </w:p>
    <w:p>
      <w:pPr>
        <w:pStyle w:val="ListBullet"/>
      </w:pPr>
      <w:r>
        <w:t>Regional teams in US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Compliance</w:t>
            </w:r>
          </w:p>
        </w:tc>
        <w:tc>
          <w:tcPr>
            <w:tcW w:type="dxa" w:w="2880"/>
          </w:tcPr>
          <w:p>
            <w:r>
              <w:t>In Progress</w:t>
            </w:r>
          </w:p>
        </w:tc>
      </w:tr>
      <w:tr>
        <w:tc>
          <w:tcPr>
            <w:tcW w:type="dxa" w:w="2880"/>
          </w:tcPr>
          <w:p>
            <w:r>
              <w:t>Access review</w:t>
            </w:r>
          </w:p>
        </w:tc>
        <w:tc>
          <w:tcPr>
            <w:tcW w:type="dxa" w:w="2880"/>
          </w:tcPr>
          <w:p>
            <w:r>
              <w:t>Security</w:t>
            </w:r>
          </w:p>
        </w:tc>
        <w:tc>
          <w:tcPr>
            <w:tcW w:type="dxa" w:w="2880"/>
          </w:tcPr>
          <w:p>
            <w:r>
              <w:t>Planned</w:t>
            </w:r>
          </w:p>
        </w:tc>
      </w:tr>
      <w:tr>
        <w:tc>
          <w:tcPr>
            <w:tcW w:type="dxa" w:w="2880"/>
          </w:tcPr>
          <w:p>
            <w:r>
              <w:t>Patch window</w:t>
            </w:r>
          </w:p>
        </w:tc>
        <w:tc>
          <w:tcPr>
            <w:tcW w:type="dxa" w:w="2880"/>
          </w:tcPr>
          <w:p>
            <w:r>
              <w:t>Security</w:t>
            </w:r>
          </w:p>
        </w:tc>
        <w:tc>
          <w:tcPr>
            <w:tcW w:type="dxa" w:w="2880"/>
          </w:tcPr>
          <w:p>
            <w:r>
              <w:t>Planned</w:t>
            </w:r>
          </w:p>
        </w:tc>
      </w:tr>
    </w:tbl>
    <w:p>
      <w:pPr>
        <w:pStyle w:val="Heading1"/>
      </w:pPr>
      <w:r>
        <w:t>Control Mapping</w:t>
      </w:r>
    </w:p>
    <w:p>
      <w:r>
        <w:t>Evidence artifacts are retained in GitHub Enterprise for at least 36 months. The process integrates with Monitoring Stack and depends on Azure AD for telemetry signals. Regional teams in US follow the same policy with localized legal review.</w:t>
      </w:r>
    </w:p>
    <w:p>
      <w:r>
        <w:t>Escalations should follow the on-call rotation with a response target of 15 minutes. Systems are monitored via Azure AD and alert routing in GitHub Enterprise.</w:t>
      </w:r>
    </w:p>
    <w:p>
      <w:pPr>
        <w:pStyle w:val="ListBullet"/>
      </w:pPr>
      <w:r>
        <w:t>Teams must log requests in GitHub Enterprise and track outcomes in Monitoring Stack for audit readiness.</w:t>
      </w:r>
    </w:p>
    <w:p>
      <w:pPr>
        <w:pStyle w:val="ListBullet"/>
      </w:pPr>
      <w:r>
        <w:t>We prioritize customer impact, data integrity, and regulatory alignment.</w:t>
      </w:r>
    </w:p>
    <w:p>
      <w:pPr>
        <w:pStyle w:val="ListBullet"/>
      </w:pPr>
      <w:r>
        <w:t>Evidence artifacts are retained in GitHub Enterprise for at least 36 months.</w:t>
      </w:r>
    </w:p>
    <w:p>
      <w:pPr>
        <w:pStyle w:val="ListBullet"/>
      </w:pPr>
      <w:r>
        <w:t>All incidents are tagged with severity and mapped to service tiers.</w:t>
      </w:r>
    </w:p>
    <w:p>
      <w:pPr>
        <w:pStyle w:val="Heading1"/>
      </w:pPr>
      <w:r>
        <w:t>Evidence Collection</w:t>
      </w:r>
    </w:p>
    <w:p>
      <w:r>
        <w:t>All incidents are tagged with severity and mapped to service tiers. The Compliance team coordinates with Procurement Lead to maintain operational readiness.</w:t>
      </w:r>
    </w:p>
    <w:p>
      <w:pPr>
        <w:pStyle w:val="ListBullet"/>
      </w:pPr>
      <w:r>
        <w:t>Evidence artifacts are retained in GitHub Enterprise for at least 36 months.</w:t>
      </w:r>
    </w:p>
    <w:p>
      <w:pPr>
        <w:pStyle w:val="ListBullet"/>
      </w:pPr>
      <w:r>
        <w:t>Audit sampling occurs monthly and is summarized in leadership dashboards.</w:t>
      </w:r>
    </w:p>
    <w:p>
      <w:pPr>
        <w:pStyle w:val="ListBullet"/>
      </w:pPr>
      <w:r>
        <w:t>All changes require peer review and validation in the Monitoring Stack before production promotion.</w:t>
      </w:r>
    </w:p>
    <w:p>
      <w:pPr>
        <w:pStyle w:val="ListBullet"/>
      </w:pPr>
      <w:r>
        <w:t>Risk acceptance must be documented and revalidated each quarter.</w:t>
      </w:r>
    </w:p>
    <w:p>
      <w:pPr>
        <w:pStyle w:val="ListBullet"/>
      </w:pPr>
      <w:r>
        <w:t>Escalations should follow the on-call rotation with a response target of 15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Compliance</w:t>
            </w:r>
          </w:p>
        </w:tc>
        <w:tc>
          <w:tcPr>
            <w:tcW w:type="dxa" w:w="2880"/>
          </w:tcPr>
          <w:p>
            <w:r>
              <w:t>Complete</w:t>
            </w:r>
          </w:p>
        </w:tc>
      </w:tr>
      <w:tr>
        <w:tc>
          <w:tcPr>
            <w:tcW w:type="dxa" w:w="2880"/>
          </w:tcPr>
          <w:p>
            <w:r>
              <w:t>Patch window</w:t>
            </w:r>
          </w:p>
        </w:tc>
        <w:tc>
          <w:tcPr>
            <w:tcW w:type="dxa" w:w="2880"/>
          </w:tcPr>
          <w:p>
            <w:r>
              <w:t>Compliance</w:t>
            </w:r>
          </w:p>
        </w:tc>
        <w:tc>
          <w:tcPr>
            <w:tcW w:type="dxa" w:w="2880"/>
          </w:tcPr>
          <w:p>
            <w:r>
              <w:t>Blocked</w:t>
            </w:r>
          </w:p>
        </w:tc>
      </w:tr>
      <w:tr>
        <w:tc>
          <w:tcPr>
            <w:tcW w:type="dxa" w:w="2880"/>
          </w:tcPr>
          <w:p>
            <w:r>
              <w:t>Incident drill</w:t>
            </w:r>
          </w:p>
        </w:tc>
        <w:tc>
          <w:tcPr>
            <w:tcW w:type="dxa" w:w="2880"/>
          </w:tcPr>
          <w:p>
            <w:r>
              <w:t>Compliance</w:t>
            </w:r>
          </w:p>
        </w:tc>
        <w:tc>
          <w:tcPr>
            <w:tcW w:type="dxa" w:w="2880"/>
          </w:tcPr>
          <w:p>
            <w:r>
              <w:t>Planned</w:t>
            </w:r>
          </w:p>
        </w:tc>
      </w:tr>
      <w:tr>
        <w:tc>
          <w:tcPr>
            <w:tcW w:type="dxa" w:w="2880"/>
          </w:tcPr>
          <w:p>
            <w:r>
              <w:t>Patch window</w:t>
            </w:r>
          </w:p>
        </w:tc>
        <w:tc>
          <w:tcPr>
            <w:tcW w:type="dxa" w:w="2880"/>
          </w:tcPr>
          <w:p>
            <w:r>
              <w:t>Operations</w:t>
            </w:r>
          </w:p>
        </w:tc>
        <w:tc>
          <w:tcPr>
            <w:tcW w:type="dxa" w:w="2880"/>
          </w:tcPr>
          <w:p>
            <w:r>
              <w:t>Blocked</w:t>
            </w:r>
          </w:p>
        </w:tc>
      </w:tr>
    </w:tbl>
    <w:p>
      <w:pPr>
        <w:pStyle w:val="Heading1"/>
      </w:pPr>
      <w:r>
        <w:t>Testing Procedures</w:t>
      </w:r>
    </w:p>
    <w:p>
      <w:r>
        <w:t>Evidence artifacts are retained in GitHub Enterprise for at least 36 months. Teams must log requests in GitHub Enterprise and track outcomes in Monitoring Stack for audit readiness. Evidence artifacts are retained in GitHub Enterprise for at least 36 months. The process integrates with Monitoring Stack and depends on Azure AD for telemetry signals.</w:t>
      </w:r>
    </w:p>
    <w:p>
      <w:r>
        <w:t>The Compliance organization uses Azure AD to enforce consistent service baselines. Regional teams in US follow the same policy with localized legal review. Stakeholders include the Procurement Lead, service owner, and compliance lead for approvals.</w:t>
      </w:r>
    </w:p>
    <w:p>
      <w:pPr>
        <w:pStyle w:val="ListBullet"/>
      </w:pPr>
      <w:r>
        <w:t>Audit sampling occurs monthly and is summarized in leadership dashboards.</w:t>
      </w:r>
    </w:p>
    <w:p>
      <w:pPr>
        <w:pStyle w:val="ListBullet"/>
      </w:pPr>
      <w:r>
        <w:t>This document aligns with SOX requirements and supports US data residency expectations.</w:t>
      </w:r>
    </w:p>
    <w:p>
      <w:pPr>
        <w:pStyle w:val="ListBullet"/>
      </w:pPr>
      <w:r>
        <w:t>All changes require peer review and validation in the Monitoring Stack before production promotion.</w:t>
      </w:r>
    </w:p>
    <w:p>
      <w:pPr>
        <w:pStyle w:val="ListBullet"/>
      </w:pPr>
      <w:r>
        <w:t>Stakeholders include the Procurement Lead,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Compliance</w:t>
            </w:r>
          </w:p>
        </w:tc>
        <w:tc>
          <w:tcPr>
            <w:tcW w:type="dxa" w:w="2880"/>
          </w:tcPr>
          <w:p>
            <w:r>
              <w:t>Blocked</w:t>
            </w:r>
          </w:p>
        </w:tc>
      </w:tr>
      <w:tr>
        <w:tc>
          <w:tcPr>
            <w:tcW w:type="dxa" w:w="2880"/>
          </w:tcPr>
          <w:p>
            <w:r>
              <w:t>Vendor check</w:t>
            </w:r>
          </w:p>
        </w:tc>
        <w:tc>
          <w:tcPr>
            <w:tcW w:type="dxa" w:w="2880"/>
          </w:tcPr>
          <w:p>
            <w:r>
              <w:t>Compliance</w:t>
            </w:r>
          </w:p>
        </w:tc>
        <w:tc>
          <w:tcPr>
            <w:tcW w:type="dxa" w:w="2880"/>
          </w:tcPr>
          <w:p>
            <w:r>
              <w:t>Blocked</w:t>
            </w:r>
          </w:p>
        </w:tc>
      </w:tr>
      <w:tr>
        <w:tc>
          <w:tcPr>
            <w:tcW w:type="dxa" w:w="2880"/>
          </w:tcPr>
          <w:p>
            <w:r>
              <w:t>Incident drill</w:t>
            </w:r>
          </w:p>
        </w:tc>
        <w:tc>
          <w:tcPr>
            <w:tcW w:type="dxa" w:w="2880"/>
          </w:tcPr>
          <w:p>
            <w:r>
              <w:t>Operations</w:t>
            </w:r>
          </w:p>
        </w:tc>
        <w:tc>
          <w:tcPr>
            <w:tcW w:type="dxa" w:w="2880"/>
          </w:tcPr>
          <w:p>
            <w:r>
              <w:t>Planned</w:t>
            </w:r>
          </w:p>
        </w:tc>
      </w:tr>
      <w:tr>
        <w:tc>
          <w:tcPr>
            <w:tcW w:type="dxa" w:w="2880"/>
          </w:tcPr>
          <w:p>
            <w:r>
              <w:t>Vendor check</w:t>
            </w:r>
          </w:p>
        </w:tc>
        <w:tc>
          <w:tcPr>
            <w:tcW w:type="dxa" w:w="2880"/>
          </w:tcPr>
          <w:p>
            <w:r>
              <w:t>Procurement Lead</w:t>
            </w:r>
          </w:p>
        </w:tc>
        <w:tc>
          <w:tcPr>
            <w:tcW w:type="dxa" w:w="2880"/>
          </w:tcPr>
          <w:p>
            <w:r>
              <w:t>In Progress</w:t>
            </w:r>
          </w:p>
        </w:tc>
      </w:tr>
    </w:tbl>
    <w:p>
      <w:pPr>
        <w:pStyle w:val="Heading1"/>
      </w:pPr>
      <w:r>
        <w:t>Reporting</w:t>
      </w:r>
    </w:p>
    <w:p>
      <w:r>
        <w:t>Risk acceptance must be documented and revalidated each quarter. Evidence artifacts are retained in GitHub Enterprise for at least 36 months. Risk acceptance must be documented and revalidated each quarter.</w:t>
      </w:r>
    </w:p>
    <w:p>
      <w:pPr>
        <w:pStyle w:val="ListBullet"/>
      </w:pPr>
      <w:r>
        <w:t>The Compliance team coordinates with Procurement Lead to maintain operational readiness.</w:t>
      </w:r>
    </w:p>
    <w:p>
      <w:pPr>
        <w:pStyle w:val="ListBullet"/>
      </w:pPr>
      <w:r>
        <w:t>Evidence artifacts are retained in GitHub Enterprise for at least 36 months.</w:t>
      </w:r>
    </w:p>
    <w:p>
      <w:pPr>
        <w:pStyle w:val="ListBullet"/>
      </w:pPr>
      <w:r>
        <w:t>Evidence artifacts are retained in GitHub Enterprise for at least 36 months.</w:t>
      </w:r>
    </w:p>
    <w:p>
      <w:pPr>
        <w:pStyle w:val="ListBullet"/>
      </w:pPr>
      <w:r>
        <w:t>Risk acceptance must be documented and revalidated each quarter.</w:t>
      </w:r>
    </w:p>
    <w:p>
      <w:pPr>
        <w:pStyle w:val="ListBullet"/>
      </w:pPr>
      <w:r>
        <w:t>Escalations should follow the on-call rotation with a response target of 15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