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Data Platform EU v2.0</w:t>
      </w:r>
    </w:p>
    <w:p>
      <w:r>
        <w:t>Department: Data Platform</w:t>
      </w:r>
    </w:p>
    <w:p>
      <w:r>
        <w:t>Author: Jordan Garcia</w:t>
      </w:r>
    </w:p>
    <w:p>
      <w:r>
        <w:t>Created date: 2026-03-14</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Systems are monitored via Redis and alert routing in Jira. We prioritize customer impact, data integrity, and regulatory alignment. We prioritize customer impact, data integrity, and regulatory alignment.</w:t>
      </w:r>
    </w:p>
    <w:p>
      <w:r>
        <w:t>The Data Platform team coordinates with Release Manager to maintain operational readiness. All incidents are tagged with severity and mapped to service tiers. Risk acceptance must be documented and revalidated each quarter. We prioritize customer impact, data integrity, and regulatory alignment.</w:t>
      </w:r>
    </w:p>
    <w:p>
      <w:pPr>
        <w:pStyle w:val="ListBullet"/>
      </w:pPr>
      <w:r>
        <w:t>Evidence artifacts are retained in Jira for at least 18 months.</w:t>
      </w:r>
    </w:p>
    <w:p>
      <w:pPr>
        <w:pStyle w:val="ListBullet"/>
      </w:pPr>
      <w:r>
        <w:t>Stakeholders include the Release Manager, service owner, and compliance lead for approvals.</w:t>
      </w:r>
    </w:p>
    <w:p>
      <w:pPr>
        <w:pStyle w:val="ListBullet"/>
      </w:pPr>
      <w:r>
        <w:t>Escalations should follow the on-call rotation with a response target of 60 minutes.</w:t>
      </w:r>
    </w:p>
    <w:p>
      <w:pPr>
        <w:pStyle w:val="ListBullet"/>
      </w:pPr>
      <w:r>
        <w:t>This document aligns with SOC 2 requirements and supports EU data residency expectations.</w:t>
      </w:r>
    </w:p>
    <w:p>
      <w:pPr>
        <w:pStyle w:val="ListBullet"/>
      </w:pPr>
      <w:r>
        <w:t>The Data Platform organization uses Redis to enforce consistent service baselines.</w:t>
      </w:r>
    </w:p>
    <w:p>
      <w:pPr>
        <w:pStyle w:val="Heading1"/>
      </w:pPr>
      <w:r>
        <w:t>Control Mapping</w:t>
      </w:r>
    </w:p>
    <w:p>
      <w:r>
        <w:t>This document aligns with SOC 2 requirements and supports EU data residency expectations. All changes require peer review and validation in the Ticketing Platform before production promotion.</w:t>
      </w:r>
    </w:p>
    <w:p>
      <w:pPr>
        <w:pStyle w:val="ListBullet"/>
      </w:pPr>
      <w:r>
        <w:t>Systems are monitored via Redis and alert routing in Jira.</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Risk acceptance must be documented and revalidated each quarter.</w:t>
      </w:r>
    </w:p>
    <w:p>
      <w:pPr>
        <w:pStyle w:val="Heading1"/>
      </w:pPr>
      <w:r>
        <w:t>Evidence Collection</w:t>
      </w:r>
    </w:p>
    <w:p>
      <w:r>
        <w:t>All incidents are tagged with severity and mapped to service tiers. Regional teams in EU follow the same policy with localized legal review.</w:t>
      </w:r>
    </w:p>
    <w:p>
      <w:r>
        <w:t>Audit sampling occurs monthly and is summarized in leadership dashboards. The process integrates with Ticketing Platform and depends on Redis for telemetry signals.</w:t>
      </w:r>
    </w:p>
    <w:p>
      <w:pPr>
        <w:pStyle w:val="ListBullet"/>
      </w:pPr>
      <w:r>
        <w:t>Evidence artifacts are retained in Jira for at least 18 months.</w:t>
      </w:r>
    </w:p>
    <w:p>
      <w:pPr>
        <w:pStyle w:val="ListBullet"/>
      </w:pPr>
      <w:r>
        <w:t>Evidence artifacts are retained in Jira for at least 18 months.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Systems are monitored via Redis and alert routing in Jira.</w:t>
      </w:r>
    </w:p>
    <w:p>
      <w:pPr>
        <w:pStyle w:val="ListBullet"/>
      </w:pPr>
      <w:r>
        <w:t>Evidence artifacts are retained in Jira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Release Manager</w:t>
            </w:r>
          </w:p>
        </w:tc>
        <w:tc>
          <w:tcPr>
            <w:tcW w:type="dxa" w:w="2880"/>
          </w:tcPr>
          <w:p>
            <w:r>
              <w:t>Complete</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Backup validation</w:t>
            </w:r>
          </w:p>
        </w:tc>
        <w:tc>
          <w:tcPr>
            <w:tcW w:type="dxa" w:w="2880"/>
          </w:tcPr>
          <w:p>
            <w:r>
              <w:t>Release Manager</w:t>
            </w:r>
          </w:p>
        </w:tc>
        <w:tc>
          <w:tcPr>
            <w:tcW w:type="dxa" w:w="2880"/>
          </w:tcPr>
          <w:p>
            <w:r>
              <w:t>Complete</w:t>
            </w:r>
          </w:p>
        </w:tc>
      </w:tr>
    </w:tbl>
    <w:p>
      <w:pPr>
        <w:pStyle w:val="Heading1"/>
      </w:pPr>
      <w:r>
        <w:t>Testing Procedures</w:t>
      </w:r>
    </w:p>
    <w:p>
      <w:r>
        <w:t>Audit sampling occurs monthly and is summarized in leadership dashboards. Evidence artifacts are retained in Jira for at least 18 months.</w:t>
      </w:r>
    </w:p>
    <w:p>
      <w:r>
        <w:t>This document aligns with SOC 2 requirements and supports EU data residency expectations. Escalations should follow the on-call rotation with a response target of 60 minutes. Escalations should follow the on-call rotation with a response target of 60 minutes.</w:t>
      </w:r>
    </w:p>
    <w:p>
      <w:pPr>
        <w:pStyle w:val="ListBullet"/>
      </w:pPr>
      <w:r>
        <w:t>The Data Platform team coordinates with Release Manager to maintain operational readiness.</w:t>
      </w:r>
    </w:p>
    <w:p>
      <w:pPr>
        <w:pStyle w:val="ListBullet"/>
      </w:pPr>
      <w:r>
        <w:t>Escalations should follow the on-call rotation with a response target of 60 minutes.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Vendor check</w:t>
            </w:r>
          </w:p>
        </w:tc>
        <w:tc>
          <w:tcPr>
            <w:tcW w:type="dxa" w:w="2880"/>
          </w:tcPr>
          <w:p>
            <w:r>
              <w:t>Operations</w:t>
            </w:r>
          </w:p>
        </w:tc>
        <w:tc>
          <w:tcPr>
            <w:tcW w:type="dxa" w:w="2880"/>
          </w:tcPr>
          <w:p>
            <w:r>
              <w:t>Planned</w:t>
            </w:r>
          </w:p>
        </w:tc>
      </w:tr>
    </w:tbl>
    <w:p>
      <w:pPr>
        <w:pStyle w:val="Heading1"/>
      </w:pPr>
      <w:r>
        <w:t>Reporting</w:t>
      </w:r>
    </w:p>
    <w:p>
      <w:r>
        <w:t>Audit sampling occurs monthly and is summarized in leadership dashboards. The Data Platform organization uses Redis to enforce consistent service baselines. Regional teams in EU follow the same policy with localized legal review.</w:t>
      </w:r>
    </w:p>
    <w:p>
      <w:r>
        <w:t>The process integrates with Ticketing Platform and depends on Redis for telemetry signals. The Data Platform team coordinates with Release Manager to maintain operational readiness.</w:t>
      </w:r>
    </w:p>
    <w:p>
      <w:pPr>
        <w:pStyle w:val="ListBullet"/>
      </w:pPr>
      <w:r>
        <w:t>All incidents are tagged with severity and mapped to service tiers.</w:t>
      </w:r>
    </w:p>
    <w:p>
      <w:pPr>
        <w:pStyle w:val="ListBullet"/>
      </w:pPr>
      <w:r>
        <w:t>The Data Platform organization uses Redis to enforce consistent service baselines.</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All changes require peer review and validation in the Ticketing Platform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