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Data Platform US v1.2</w:t>
      </w:r>
    </w:p>
    <w:p>
      <w:r>
        <w:t>Department: Data Platform</w:t>
      </w:r>
    </w:p>
    <w:p>
      <w:r>
        <w:t>Author: Morgan Nguyen</w:t>
      </w:r>
    </w:p>
    <w:p>
      <w:r>
        <w:t>Created date: 2026-04-23</w:t>
      </w:r>
    </w:p>
    <w:p>
      <w:r>
        <w:t>Region: US</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Risk acceptance must be documented and revalidated each quarter. This document aligns with SOX requirements and supports US data residency expectations.</w:t>
      </w:r>
    </w:p>
    <w:p>
      <w:r>
        <w:t>We prioritize customer impact, data integrity, and regulatory alignment. The Data Platform organization uses Redis to enforce consistent service baselines. The Data Platform team coordinates with Systems Engineer to maintain operational readiness. Audit sampling occurs monthly and is summarized in leadership dashboards.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Control Mapping</w:t>
      </w:r>
    </w:p>
    <w:p>
      <w:r>
        <w:t>All changes require peer review and validation in the Identity Access Gateway before production promotion. We prioritize customer impact, data integrity, and regulatory alignment.</w:t>
      </w:r>
    </w:p>
    <w:p>
      <w:r>
        <w:t>This document aligns with SOX requirements and supports US data residency expectations. Risk acceptance must be documented and revalidated each quarter. The process integrates with Identity Access Gateway and depends on Redis for telemetry signals. Audit sampling occurs monthly and is summarized in leadership dashboards.</w:t>
      </w:r>
    </w:p>
    <w:p>
      <w:pPr>
        <w:pStyle w:val="ListBullet"/>
      </w:pPr>
      <w:r>
        <w:t>The process integrates with Identity Access Gateway and depends on Redis for telemetry signals.</w:t>
      </w:r>
    </w:p>
    <w:p>
      <w:pPr>
        <w:pStyle w:val="ListBullet"/>
      </w:pPr>
      <w:r>
        <w:t>Audit sampling occurs monthly and is summarized in leadership dashboards.</w:t>
      </w:r>
    </w:p>
    <w:p>
      <w:pPr>
        <w:pStyle w:val="ListBullet"/>
      </w:pPr>
      <w:r>
        <w:t>This document aligns with SOX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Blocked</w:t>
            </w:r>
          </w:p>
        </w:tc>
      </w:tr>
      <w:tr>
        <w:tc>
          <w:tcPr>
            <w:tcW w:type="dxa" w:w="2880"/>
          </w:tcPr>
          <w:p>
            <w:r>
              <w:t>Access review</w:t>
            </w:r>
          </w:p>
        </w:tc>
        <w:tc>
          <w:tcPr>
            <w:tcW w:type="dxa" w:w="2880"/>
          </w:tcPr>
          <w:p>
            <w:r>
              <w:t>Systems Engineer</w:t>
            </w:r>
          </w:p>
        </w:tc>
        <w:tc>
          <w:tcPr>
            <w:tcW w:type="dxa" w:w="2880"/>
          </w:tcPr>
          <w:p>
            <w:r>
              <w:t>Blocked</w:t>
            </w:r>
          </w:p>
        </w:tc>
      </w:tr>
    </w:tbl>
    <w:p>
      <w:pPr>
        <w:pStyle w:val="Heading1"/>
      </w:pPr>
      <w:r>
        <w:t>Evidence Collection</w:t>
      </w:r>
    </w:p>
    <w:p>
      <w:r>
        <w:t>We prioritize customer impact, data integrity, and regulatory alignment. All changes require peer review and validation in the Identity Access Gateway before production promotion. Risk acceptance must be documented and revalidated each quarter.</w:t>
      </w:r>
    </w:p>
    <w:p>
      <w:pPr>
        <w:pStyle w:val="ListBullet"/>
      </w:pPr>
      <w:r>
        <w:t>Evidence artifacts are retained in Google Workspace for at least 36 months.</w:t>
      </w:r>
    </w:p>
    <w:p>
      <w:pPr>
        <w:pStyle w:val="ListBullet"/>
      </w:pPr>
      <w:r>
        <w:t>We prioritize customer impact, data integrity, and regulatory alignment.</w:t>
      </w:r>
    </w:p>
    <w:p>
      <w:pPr>
        <w:pStyle w:val="ListBullet"/>
      </w:pPr>
      <w:r>
        <w:t>The Data Platform team coordinates with Systems Engineer to maintain operational readiness.</w:t>
      </w:r>
    </w:p>
    <w:p>
      <w:pPr>
        <w:pStyle w:val="ListBullet"/>
      </w:pPr>
      <w:r>
        <w:t>Risk acceptance must be documented and revalidated each quarter.</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Planned</w:t>
            </w:r>
          </w:p>
        </w:tc>
      </w:tr>
      <w:tr>
        <w:tc>
          <w:tcPr>
            <w:tcW w:type="dxa" w:w="2880"/>
          </w:tcPr>
          <w:p>
            <w:r>
              <w:t>Backup validation</w:t>
            </w:r>
          </w:p>
        </w:tc>
        <w:tc>
          <w:tcPr>
            <w:tcW w:type="dxa" w:w="2880"/>
          </w:tcPr>
          <w:p>
            <w:r>
              <w:t>Data Platform</w:t>
            </w:r>
          </w:p>
        </w:tc>
        <w:tc>
          <w:tcPr>
            <w:tcW w:type="dxa" w:w="2880"/>
          </w:tcPr>
          <w:p>
            <w:r>
              <w:t>In Progress</w:t>
            </w:r>
          </w:p>
        </w:tc>
      </w:tr>
    </w:tbl>
    <w:p>
      <w:pPr>
        <w:pStyle w:val="Heading1"/>
      </w:pPr>
      <w:r>
        <w:t>Testing Procedures</w:t>
      </w:r>
    </w:p>
    <w:p>
      <w:r>
        <w:t>All changes require peer review and validation in the Identity Access Gateway before production promotion. Escalations should follow the on-call rotation with a response target of 60 minutes.</w:t>
      </w:r>
    </w:p>
    <w:p>
      <w:pPr>
        <w:pStyle w:val="ListBullet"/>
      </w:pPr>
      <w:r>
        <w:t>Regional teams in US follow the same policy with localized legal review.</w:t>
      </w:r>
    </w:p>
    <w:p>
      <w:pPr>
        <w:pStyle w:val="ListBullet"/>
      </w:pPr>
      <w:r>
        <w:t>Stakeholders include the Systems Engineer, service owner, and compliance lead for approvals.</w:t>
      </w:r>
    </w:p>
    <w:p>
      <w:pPr>
        <w:pStyle w:val="ListBullet"/>
      </w:pPr>
      <w:r>
        <w:t>Stakeholders include the Systems Engineer, service owner, and compliance lead for approvals.</w:t>
      </w:r>
    </w:p>
    <w:p>
      <w:pPr>
        <w:pStyle w:val="Heading1"/>
      </w:pPr>
      <w:r>
        <w:t>Reporting</w:t>
      </w:r>
    </w:p>
    <w:p>
      <w:r>
        <w:t>Audit sampling occurs monthly and is summarized in leadership dashboards. Teams must log requests in Google Workspace and track outcomes in Identity Access Gateway for audit readiness. This document aligns with SOX requirements and supports US data residency expectations. Stakeholders include the Systems Engineer, service owner, and compliance lead for approvals.</w:t>
      </w:r>
    </w:p>
    <w:p>
      <w:r>
        <w:t>Evidence artifacts are retained in Google Workspace for at least 36 months. The Data Platform team coordinates with Systems Engineer to maintain operational readiness. This document aligns with SOX requirements and supports US data residency expectations. Systems are monitored via Redis and alert routing in Google Workspace.</w:t>
      </w:r>
    </w:p>
    <w:p>
      <w:pPr>
        <w:pStyle w:val="ListBullet"/>
      </w:pPr>
      <w:r>
        <w:t>This document aligns with SOX requirements and supports US data residency expectations.</w:t>
      </w:r>
    </w:p>
    <w:p>
      <w:pPr>
        <w:pStyle w:val="ListBullet"/>
      </w:pPr>
      <w:r>
        <w:t>The Data Platform team coordinates with Systems Engineer to maintain operational readiness.</w:t>
      </w:r>
    </w:p>
    <w:p>
      <w:pPr>
        <w:pStyle w:val="ListBullet"/>
      </w:pPr>
      <w:r>
        <w:t>All changes require peer review and validation in the Identity Access Gateway before production promotion.</w:t>
      </w:r>
    </w:p>
    <w:p>
      <w:pPr>
        <w:pStyle w:val="ListBullet"/>
      </w:pPr>
      <w:r>
        <w:t>Systems are monitored via Redis and alert routing in Google Workspace.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