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Engineering EU v3.0</w:t>
      </w:r>
    </w:p>
    <w:p>
      <w:r>
        <w:t>Department: Engineering</w:t>
      </w:r>
    </w:p>
    <w:p>
      <w:r>
        <w:t>Author: Casey Smith</w:t>
      </w:r>
    </w:p>
    <w:p>
      <w:r>
        <w:t>Created date: 2024-09-07</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All incidents are tagged with severity and mapped to service tiers. We prioritize customer impact, data integrity, and regulatory alignment.</w:t>
      </w:r>
    </w:p>
    <w:p>
      <w:r>
        <w:t>Regional teams in EU follow the same policy with localized legal review. Teams must log requests in Microsoft 365 and track outcomes in Payment Processing Service for audit readiness. Audit sampling occurs monthly and is summarized in leadership dashboards. All changes require peer review and validation in the Payment Processing Service before production promotion.</w:t>
      </w:r>
    </w:p>
    <w:p>
      <w:pPr>
        <w:pStyle w:val="ListBullet"/>
      </w:pPr>
      <w:r>
        <w:t>The Engineering organization uses Prometheus to enforce consistent service baselines.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p>
      <w:pPr>
        <w:pStyle w:val="ListBullet"/>
      </w:pPr>
      <w:r>
        <w:t>The Engineering organization uses Prometheus to enforce consistent service baselines.</w:t>
      </w:r>
    </w:p>
    <w:p>
      <w:pPr>
        <w:pStyle w:val="ListBullet"/>
      </w:pPr>
      <w:r>
        <w:t>This document aligns with SOC 2 requirements and supports EU data residency expectations.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Access review</w:t>
            </w:r>
          </w:p>
        </w:tc>
        <w:tc>
          <w:tcPr>
            <w:tcW w:type="dxa" w:w="2880"/>
          </w:tcPr>
          <w:p>
            <w:r>
              <w:t>Engineering</w:t>
            </w:r>
          </w:p>
        </w:tc>
        <w:tc>
          <w:tcPr>
            <w:tcW w:type="dxa" w:w="2880"/>
          </w:tcPr>
          <w:p>
            <w:r>
              <w:t>Complete</w:t>
            </w:r>
          </w:p>
        </w:tc>
      </w:tr>
    </w:tbl>
    <w:p>
      <w:pPr>
        <w:pStyle w:val="Heading1"/>
      </w:pPr>
      <w:r>
        <w:t>Control Mapping</w:t>
      </w:r>
    </w:p>
    <w:p>
      <w:r>
        <w:t>All changes require peer review and validation in the Payment Processing Service before production promotion. All incidents are tagged with severity and mapped to service tiers. Regional teams in EU follow the same policy with localized legal review. Risk acceptance must be documented and revalidated each quarter.</w:t>
      </w:r>
    </w:p>
    <w:p>
      <w:r>
        <w:t>Risk acceptance must be documented and revalidated each quarter. Stakeholders include the SRE, service owner, and compliance lead for approvals.</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This document aligns with SOC 2 requirements and supports EU data residency expectations.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Evidence Collection</w:t>
      </w:r>
    </w:p>
    <w:p>
      <w:r>
        <w:t>This document aligns with SOC 2 requirements and supports EU data residency expectations. Regional teams in EU follow the same policy with localized legal review. The Engineering organization uses Prometheus to enforce consistent service baselines.</w:t>
      </w:r>
    </w:p>
    <w:p>
      <w:pPr>
        <w:pStyle w:val="ListBullet"/>
      </w:pPr>
      <w:r>
        <w:t>This document aligns with SOC 2 requirements and supports EU data residency expectations.</w:t>
      </w:r>
    </w:p>
    <w:p>
      <w:pPr>
        <w:pStyle w:val="ListBullet"/>
      </w:pPr>
      <w:r>
        <w:t>This document aligns with SOC 2 requirements and supports EU data residency expectations.</w:t>
      </w:r>
    </w:p>
    <w:p>
      <w:pPr>
        <w:pStyle w:val="ListBullet"/>
      </w:pPr>
      <w:r>
        <w:t>Escalations should follow the on-call rotation with a response target of 60 minutes.</w:t>
      </w:r>
    </w:p>
    <w:p>
      <w:pPr>
        <w:pStyle w:val="ListBullet"/>
      </w:pPr>
      <w:r>
        <w:t>The Engineering team coordinates with SRE to maintain operational readiness.</w:t>
      </w:r>
    </w:p>
    <w:p>
      <w:pPr>
        <w:pStyle w:val="ListBullet"/>
      </w:pPr>
      <w:r>
        <w:t>This document aligns with SOC 2 requirements and supports EU data residency expectations.</w:t>
      </w:r>
    </w:p>
    <w:p>
      <w:pPr>
        <w:pStyle w:val="Heading1"/>
      </w:pPr>
      <w:r>
        <w:t>Testing Procedures</w:t>
      </w:r>
    </w:p>
    <w:p>
      <w:r>
        <w:t>Audit sampling occurs monthly and is summarized in leadership dashboards. This document aligns with SOC 2 requirements and supports EU data residency expectations. The Engineering team coordinates with SRE to maintain operational readiness. We prioritize customer impact, data integrity, and regulatory alignment.</w:t>
      </w:r>
    </w:p>
    <w:p>
      <w:pPr>
        <w:pStyle w:val="ListBullet"/>
      </w:pPr>
      <w:r>
        <w:t>Escalations should follow the on-call rotation with a response target of 60 minutes.</w:t>
      </w:r>
    </w:p>
    <w:p>
      <w:pPr>
        <w:pStyle w:val="ListBullet"/>
      </w:pPr>
      <w:r>
        <w:t>The Engineering team coordinates with SRE to maintain operational readiness.</w:t>
      </w:r>
    </w:p>
    <w:p>
      <w:pPr>
        <w:pStyle w:val="ListBullet"/>
      </w:pPr>
      <w:r>
        <w:t>This document aligns with SOC 2 requirements and supports EU data residency expectations.</w:t>
      </w:r>
    </w:p>
    <w:p>
      <w:pPr>
        <w:pStyle w:val="Heading1"/>
      </w:pPr>
      <w:r>
        <w:t>Reporting</w:t>
      </w:r>
    </w:p>
    <w:p>
      <w:r>
        <w:t>Teams must log requests in Microsoft 365 and track outcomes in Payment Processing Service for audit readiness. Audit sampling occurs monthly and is summarized in leadership dashboards.</w:t>
      </w:r>
    </w:p>
    <w:p>
      <w:r>
        <w:t>The Engineering organization uses Prometheus to enforce consistent service baselines. Stakeholders include the SRE, service owner, and compliance lead for approvals. This document aligns with SOC 2 requirements and supports EU data residency expectations.</w:t>
      </w:r>
    </w:p>
    <w:p>
      <w:pPr>
        <w:pStyle w:val="ListBullet"/>
      </w:pPr>
      <w:r>
        <w:t>All incidents are tagged with severity and mapped to service tiers.</w:t>
      </w:r>
    </w:p>
    <w:p>
      <w:pPr>
        <w:pStyle w:val="ListBullet"/>
      </w:pPr>
      <w:r>
        <w:t>Stakeholders include the SRE, service owner, and compliance lead for approvals.</w:t>
      </w:r>
    </w:p>
    <w:p>
      <w:pPr>
        <w:pStyle w:val="ListBullet"/>
      </w:pPr>
      <w:r>
        <w:t>Regional teams in EU follow the same policy with localized legal review.</w:t>
      </w:r>
    </w:p>
    <w:p>
      <w:pPr>
        <w:pStyle w:val="ListBullet"/>
      </w:pPr>
      <w:r>
        <w:t>The Engineering team coordinates with SRE to maintain operational readiness.</w:t>
      </w:r>
    </w:p>
    <w:p>
      <w:pPr>
        <w:pStyle w:val="ListBullet"/>
      </w:pPr>
      <w:r>
        <w:t>The Engineering team coordinates with SRE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