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Engineering US v3.0</w:t>
      </w:r>
    </w:p>
    <w:p>
      <w:r>
        <w:t>Department: Engineering</w:t>
      </w:r>
    </w:p>
    <w:p>
      <w:r>
        <w:t>Author: Morgan Lee</w:t>
      </w:r>
    </w:p>
    <w:p>
      <w:r>
        <w:t>Created date: 2025-03-07</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The Engineering team coordinates with Support Specialist to maintain operational readiness. Escalations should follow the on-call rotation with a response target of 60 minutes. Teams must log requests in Salesforce and track outcomes in ERP System for audit readiness.</w:t>
      </w:r>
    </w:p>
    <w:p>
      <w:pPr>
        <w:pStyle w:val="ListBullet"/>
      </w:pPr>
      <w:r>
        <w:t>The Engineering organization uses Terraform to enforce consistent service baselines.</w:t>
      </w:r>
    </w:p>
    <w:p>
      <w:pPr>
        <w:pStyle w:val="ListBullet"/>
      </w:pPr>
      <w:r>
        <w:t>This document aligns with SOX requirements and supports US data residency expectations.</w:t>
      </w:r>
    </w:p>
    <w:p>
      <w:pPr>
        <w:pStyle w:val="ListBullet"/>
      </w:pPr>
      <w:r>
        <w:t>Stakeholders include the Support Specialist, service owner, and compliance lead for approvals.</w:t>
      </w:r>
    </w:p>
    <w:p>
      <w:pPr>
        <w:pStyle w:val="ListBullet"/>
      </w:pPr>
      <w:r>
        <w:t>Systems are monitored via Terraform and alert routing in Salesforce.</w:t>
      </w:r>
    </w:p>
    <w:p>
      <w:pPr>
        <w:pStyle w:val="Heading1"/>
      </w:pPr>
      <w:r>
        <w:t>Control Mapping</w:t>
      </w:r>
    </w:p>
    <w:p>
      <w:r>
        <w:t>All incidents are tagged with severity and mapped to service tiers. This document aligns with SOX requirements and supports US data residency expectations. Audit sampling occurs monthly and is summarized in leadership dashboards. Audit sampling occurs monthly and is summarized in leadership dashboards.</w:t>
      </w:r>
    </w:p>
    <w:p>
      <w:r>
        <w:t>Audit sampling occurs monthly and is summarized in leadership dashboards. Teams must log requests in Salesforce and track outcomes in ERP System for audit readiness. This document aligns with SOX requirements and supports US data residency expectations. The Engineering team coordinates with Support Specialist to maintain operational readiness.</w:t>
      </w:r>
    </w:p>
    <w:p>
      <w:pPr>
        <w:pStyle w:val="ListBullet"/>
      </w:pPr>
      <w:r>
        <w:t>The Engineering team coordinates with Support Specialist to maintain operational readiness.</w:t>
      </w:r>
    </w:p>
    <w:p>
      <w:pPr>
        <w:pStyle w:val="ListBullet"/>
      </w:pPr>
      <w:r>
        <w:t>All incidents are tagged with severity and mapped to service tiers.</w:t>
      </w:r>
    </w:p>
    <w:p>
      <w:pPr>
        <w:pStyle w:val="ListBullet"/>
      </w:pPr>
      <w:r>
        <w:t>Audit sampling occurs monthly and is summarized in leadership dashboards.</w:t>
      </w:r>
    </w:p>
    <w:p>
      <w:pPr>
        <w:pStyle w:val="Heading1"/>
      </w:pPr>
      <w:r>
        <w:t>Evidence Collection</w:t>
      </w:r>
    </w:p>
    <w:p>
      <w:r>
        <w:t>All incidents are tagged with severity and mapped to service tiers. All changes require peer review and validation in the ERP System before production promotion.</w:t>
      </w:r>
    </w:p>
    <w:p>
      <w:pPr>
        <w:pStyle w:val="ListBullet"/>
      </w:pPr>
      <w:r>
        <w:t>Teams must log requests in Salesforce and track outcomes in ERP System for audit readiness.</w:t>
      </w:r>
    </w:p>
    <w:p>
      <w:pPr>
        <w:pStyle w:val="ListBullet"/>
      </w:pPr>
      <w:r>
        <w:t>Systems are monitored via Terraform and alert routing in Salesforce.</w:t>
      </w:r>
    </w:p>
    <w:p>
      <w:pPr>
        <w:pStyle w:val="ListBullet"/>
      </w:pPr>
      <w:r>
        <w:t>Audit sampling occurs monthly and is summarized in leadership dashboards.</w:t>
      </w:r>
    </w:p>
    <w:p>
      <w:pPr>
        <w:pStyle w:val="ListBullet"/>
      </w:pPr>
      <w:r>
        <w:t>The Engineering team coordinates with Support Specialist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Complete</w:t>
            </w:r>
          </w:p>
        </w:tc>
      </w:tr>
      <w:tr>
        <w:tc>
          <w:tcPr>
            <w:tcW w:type="dxa" w:w="2880"/>
          </w:tcPr>
          <w:p>
            <w:r>
              <w:t>Incident drill</w:t>
            </w:r>
          </w:p>
        </w:tc>
        <w:tc>
          <w:tcPr>
            <w:tcW w:type="dxa" w:w="2880"/>
          </w:tcPr>
          <w:p>
            <w:r>
              <w:t>Operations</w:t>
            </w:r>
          </w:p>
        </w:tc>
        <w:tc>
          <w:tcPr>
            <w:tcW w:type="dxa" w:w="2880"/>
          </w:tcPr>
          <w:p>
            <w:r>
              <w:t>Planned</w:t>
            </w:r>
          </w:p>
        </w:tc>
      </w:tr>
    </w:tbl>
    <w:p>
      <w:pPr>
        <w:pStyle w:val="Heading1"/>
      </w:pPr>
      <w:r>
        <w:t>Testing Procedures</w:t>
      </w:r>
    </w:p>
    <w:p>
      <w:r>
        <w:t>Stakeholders include the Support Specialist, service owner, and compliance lead for approvals. All incidents are tagged with severity and mapped to service tiers.</w:t>
      </w:r>
    </w:p>
    <w:p>
      <w:pPr>
        <w:pStyle w:val="ListBullet"/>
      </w:pPr>
      <w:r>
        <w:t>All incidents are tagged with severity and mapped to service tiers.</w:t>
      </w:r>
    </w:p>
    <w:p>
      <w:pPr>
        <w:pStyle w:val="ListBullet"/>
      </w:pPr>
      <w:r>
        <w:t>Escalations should follow the on-call rotation with a response target of 60 minutes.</w:t>
      </w:r>
    </w:p>
    <w:p>
      <w:pPr>
        <w:pStyle w:val="ListBullet"/>
      </w:pPr>
      <w:r>
        <w:t>The Engineering organization uses Terraform to enforce consistent service baselines.</w:t>
      </w:r>
    </w:p>
    <w:p>
      <w:pPr>
        <w:pStyle w:val="ListBullet"/>
      </w:pPr>
      <w:r>
        <w:t>This document aligns with SOX requirements and supports US data residency expectations.</w:t>
      </w:r>
    </w:p>
    <w:p>
      <w:pPr>
        <w:pStyle w:val="ListBullet"/>
      </w:pPr>
      <w:r>
        <w:t>Risk acceptance must be documented and revalidated each quarter.</w:t>
      </w:r>
    </w:p>
    <w:p>
      <w:pPr>
        <w:pStyle w:val="ListBullet"/>
      </w:pPr>
      <w:r>
        <w:t>The process integrates with ERP System and depends on Terraform for telemetry signals.</w:t>
      </w:r>
    </w:p>
    <w:p>
      <w:pPr>
        <w:pStyle w:val="Heading1"/>
      </w:pPr>
      <w:r>
        <w:t>Reporting</w:t>
      </w:r>
    </w:p>
    <w:p>
      <w:r>
        <w:t>This document aligns with SOX requirements and supports US data residency expectations. We prioritize customer impact, data integrity, and regulatory alignment. The process integrates with ERP System and depends on Terraform for telemetry signals.</w:t>
      </w:r>
    </w:p>
    <w:p>
      <w:r>
        <w:t>Audit sampling occurs monthly and is summarized in leadership dashboards. Escalations should follow the on-call rotation with a response target of 60 minutes. The Engineering team coordinates with Support Specialist to maintain operational readiness.</w:t>
      </w:r>
    </w:p>
    <w:p>
      <w:pPr>
        <w:pStyle w:val="ListBullet"/>
      </w:pPr>
      <w:r>
        <w:t>The process integrates with ERP System and depends on Terraform for telemetry signals.</w:t>
      </w:r>
    </w:p>
    <w:p>
      <w:pPr>
        <w:pStyle w:val="ListBullet"/>
      </w:pPr>
      <w:r>
        <w:t>All changes require peer review and validation in the ERP System before production promotion.</w:t>
      </w:r>
    </w:p>
    <w:p>
      <w:pPr>
        <w:pStyle w:val="ListBullet"/>
      </w:pPr>
      <w:r>
        <w:t>Escalations should follow the on-call rotation with a response target of 60 minutes.</w:t>
      </w:r>
    </w:p>
    <w:p>
      <w:pPr>
        <w:pStyle w:val="ListBullet"/>
      </w:pPr>
      <w:r>
        <w:t>This document aligns with SOX requirements and supports US data residency expectations.</w:t>
      </w:r>
    </w:p>
    <w:p>
      <w:pPr>
        <w:pStyle w:val="ListBullet"/>
      </w:pPr>
      <w:r>
        <w:t>Regional teams in US follow the same policy with localized legal review.</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