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Finance US v2.1</w:t>
      </w:r>
    </w:p>
    <w:p>
      <w:r>
        <w:t>Department: Finance</w:t>
      </w:r>
    </w:p>
    <w:p>
      <w:r>
        <w:t>Author: Casey Garcia</w:t>
      </w:r>
    </w:p>
    <w:p>
      <w:r>
        <w:t>Created date: 2024-08-12</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All incidents are tagged with severity and mapped to service tiers. We prioritize customer impact, data integrity, and regulatory alignment. This document aligns with PCI DSS requirements and supports US data residency expectations. Teams must log requests in Confluence and track outcomes in Customer Data Lake for audit readiness.</w:t>
      </w:r>
    </w:p>
    <w:p>
      <w:r>
        <w:t>The process integrates with Customer Data Lake and depends on Vault for telemetry signals. Risk acceptance must be documented and revalidated each quarter. The Finance team coordinates with Systems Engineer to maintain operational readiness.</w:t>
      </w:r>
    </w:p>
    <w:p>
      <w:pPr>
        <w:pStyle w:val="ListBullet"/>
      </w:pPr>
      <w:r>
        <w:t>Systems are monitored via Vault and alert routing in Confluence.</w:t>
      </w:r>
    </w:p>
    <w:p>
      <w:pPr>
        <w:pStyle w:val="ListBullet"/>
      </w:pPr>
      <w:r>
        <w:t>Risk acceptance must be documented and revalidated each quarter.</w:t>
      </w:r>
    </w:p>
    <w:p>
      <w:pPr>
        <w:pStyle w:val="ListBullet"/>
      </w:pPr>
      <w:r>
        <w:t>This document aligns with PCI DSS requirements and supports US data residency expectations.</w:t>
      </w:r>
    </w:p>
    <w:p>
      <w:pPr>
        <w:pStyle w:val="ListBullet"/>
      </w:pPr>
      <w:r>
        <w:t>Stakeholders include the Systems Engineer, service owner, and compliance lead for approvals.</w:t>
      </w:r>
    </w:p>
    <w:p>
      <w:pPr>
        <w:pStyle w:val="ListBullet"/>
      </w:pPr>
      <w:r>
        <w:t>The Finance organization uses Vault to enforce consistent service baselines.</w:t>
      </w:r>
    </w:p>
    <w:p>
      <w:pPr>
        <w:pStyle w:val="ListBullet"/>
      </w:pPr>
      <w:r>
        <w:t>Teams must log requests in Confluence and track outcomes in Customer Data Lake for audit readiness.</w:t>
      </w:r>
    </w:p>
    <w:p>
      <w:pPr>
        <w:pStyle w:val="Heading1"/>
      </w:pPr>
      <w:r>
        <w:t>Control Mapping</w:t>
      </w:r>
    </w:p>
    <w:p>
      <w:r>
        <w:t>The process integrates with Customer Data Lake and depends on Vault for telemetry signals. Audit sampling occurs monthly and is summarized in leadership dashboards. The Finance organization uses Vault to enforce consistent service baselines.</w:t>
      </w:r>
    </w:p>
    <w:p>
      <w:r>
        <w:t>Risk acceptance must be documented and revalidated each quarter. All incidents are tagged with severity and mapped to service tiers.</w:t>
      </w:r>
    </w:p>
    <w:p>
      <w:pPr>
        <w:pStyle w:val="ListBullet"/>
      </w:pPr>
      <w:r>
        <w:t>All incidents are tagged with severity and mapped to service tiers.</w:t>
      </w:r>
    </w:p>
    <w:p>
      <w:pPr>
        <w:pStyle w:val="ListBullet"/>
      </w:pPr>
      <w:r>
        <w:t>Stakeholders include the Systems Engineer, service owner, and compliance lead for approvals.</w:t>
      </w:r>
    </w:p>
    <w:p>
      <w:pPr>
        <w:pStyle w:val="ListBullet"/>
      </w:pPr>
      <w:r>
        <w:t>All incidents are tagged with severity and mapped to service tiers.</w:t>
      </w:r>
    </w:p>
    <w:p>
      <w:pPr>
        <w:pStyle w:val="Heading1"/>
      </w:pPr>
      <w:r>
        <w:t>Evidence Collection</w:t>
      </w:r>
    </w:p>
    <w:p>
      <w:r>
        <w:t>Systems are monitored via Vault and alert routing in Confluence. Evidence artifacts are retained in Confluence for at least 18 months. Teams must log requests in Confluence and track outcomes in Customer Data Lake for audit readiness. The Finance team coordinates with Systems Engineer to maintain operational readiness.</w:t>
      </w:r>
    </w:p>
    <w:p>
      <w:r>
        <w:t>All changes require peer review and validation in the Customer Data Lake before production promotion. The process integrates with Customer Data Lake and depends on Vault for telemetry signals. Stakeholders include the Systems Engineer, service owner, and compliance lead for approvals.</w:t>
      </w:r>
    </w:p>
    <w:p>
      <w:pPr>
        <w:pStyle w:val="ListBullet"/>
      </w:pPr>
      <w:r>
        <w:t>Stakeholders include the Systems Engineer, service owner, and compliance lead for approvals.</w:t>
      </w:r>
    </w:p>
    <w:p>
      <w:pPr>
        <w:pStyle w:val="ListBullet"/>
      </w:pPr>
      <w:r>
        <w:t>Systems are monitored via Vault and alert routing in Confluence.</w:t>
      </w:r>
    </w:p>
    <w:p>
      <w:pPr>
        <w:pStyle w:val="ListBullet"/>
      </w:pPr>
      <w:r>
        <w:t>Audit sampling occurs monthly and is summarized in leadership dashboards.</w:t>
      </w:r>
    </w:p>
    <w:p>
      <w:pPr>
        <w:pStyle w:val="ListBullet"/>
      </w:pPr>
      <w:r>
        <w:t>Audit sampling occurs monthly and is summarized in leadership dashboards.</w:t>
      </w:r>
    </w:p>
    <w:p>
      <w:pPr>
        <w:pStyle w:val="Heading1"/>
      </w:pPr>
      <w:r>
        <w:t>Testing Procedures</w:t>
      </w:r>
    </w:p>
    <w:p>
      <w:r>
        <w:t>All changes require peer review and validation in the Customer Data Lake before production promotion. We prioritize customer impact, data integrity, and regulatory alignment. Stakeholders include the Systems Engineer, service owner, and compliance lead for approvals. Audit sampling occurs monthly and is summarized in leadership dashboards.</w:t>
      </w:r>
    </w:p>
    <w:p>
      <w:r>
        <w:t>Systems are monitored via Vault and alert routing in Confluence. This document aligns with PCI DSS requirements and supports US data residency expectations. Escalations should follow the on-call rotation with a response target of 60 minutes.</w:t>
      </w:r>
    </w:p>
    <w:p>
      <w:pPr>
        <w:pStyle w:val="ListBullet"/>
      </w:pPr>
      <w:r>
        <w:t>All changes require peer review and validation in the Customer Data Lake before production promotion.</w:t>
      </w:r>
    </w:p>
    <w:p>
      <w:pPr>
        <w:pStyle w:val="ListBullet"/>
      </w:pPr>
      <w:r>
        <w:t>All changes require peer review and validation in the Customer Data Lake before production promotion.</w:t>
      </w:r>
    </w:p>
    <w:p>
      <w:pPr>
        <w:pStyle w:val="ListBullet"/>
      </w:pPr>
      <w:r>
        <w:t>Stakeholders include the Systems Engineer, service owner, and compliance lead for approvals.</w:t>
      </w:r>
    </w:p>
    <w:p>
      <w:pPr>
        <w:pStyle w:val="ListBullet"/>
      </w:pPr>
      <w:r>
        <w:t>Regional teams in US follow the same policy with localized legal review.</w:t>
      </w:r>
    </w:p>
    <w:p>
      <w:pPr>
        <w:pStyle w:val="Heading1"/>
      </w:pPr>
      <w:r>
        <w:t>Reporting</w:t>
      </w:r>
    </w:p>
    <w:p>
      <w:r>
        <w:t>All changes require peer review and validation in the Customer Data Lake before production promotion. Systems are monitored via Vault and alert routing in Confluence.</w:t>
      </w:r>
    </w:p>
    <w:p>
      <w:r>
        <w:t>All changes require peer review and validation in the Customer Data Lake before production promotion. Systems are monitored via Vault and alert routing in Confluence. All incidents are tagged with severity and mapped to service tiers. Escalations should follow the on-call rotation with a response target of 60 minutes.</w:t>
      </w:r>
    </w:p>
    <w:p>
      <w:pPr>
        <w:pStyle w:val="ListBullet"/>
      </w:pPr>
      <w:r>
        <w:t>Teams must log requests in Confluence and track outcomes in Customer Data Lake for audit readiness.</w:t>
      </w:r>
    </w:p>
    <w:p>
      <w:pPr>
        <w:pStyle w:val="ListBullet"/>
      </w:pPr>
      <w:r>
        <w:t>Evidence artifacts are retained in Confluence for at least 18 months.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Blocked</w:t>
            </w:r>
          </w:p>
        </w:tc>
      </w:tr>
      <w:tr>
        <w:tc>
          <w:tcPr>
            <w:tcW w:type="dxa" w:w="2880"/>
          </w:tcPr>
          <w:p>
            <w:r>
              <w:t>Patch window</w:t>
            </w:r>
          </w:p>
        </w:tc>
        <w:tc>
          <w:tcPr>
            <w:tcW w:type="dxa" w:w="2880"/>
          </w:tcPr>
          <w:p>
            <w:r>
              <w:t>Operations</w:t>
            </w:r>
          </w:p>
        </w:tc>
        <w:tc>
          <w:tcPr>
            <w:tcW w:type="dxa" w:w="2880"/>
          </w:tcPr>
          <w:p>
            <w:r>
              <w:t>Complete</w:t>
            </w:r>
          </w:p>
        </w:tc>
      </w:tr>
      <w:tr>
        <w:tc>
          <w:tcPr>
            <w:tcW w:type="dxa" w:w="2880"/>
          </w:tcPr>
          <w:p>
            <w:r>
              <w:t>Incident drill</w:t>
            </w:r>
          </w:p>
        </w:tc>
        <w:tc>
          <w:tcPr>
            <w:tcW w:type="dxa" w:w="2880"/>
          </w:tcPr>
          <w:p>
            <w:r>
              <w:t>Systems Engineer</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