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Human Resources APAC v1.1</w:t>
      </w:r>
    </w:p>
    <w:p>
      <w:r>
        <w:t>Department: Human Resources</w:t>
      </w:r>
    </w:p>
    <w:p>
      <w:r>
        <w:t>Author: Alex Brown</w:t>
      </w:r>
    </w:p>
    <w:p>
      <w:r>
        <w:t>Created date: 2025-02-06</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All incidents are tagged with severity and mapped to service tiers. The Human Resources team coordinates with Platform Engineer to maintain operational readiness. All incidents are tagged with severity and mapped to service tiers.</w:t>
      </w:r>
    </w:p>
    <w:p>
      <w:r>
        <w:t>Audit sampling occurs monthly and is summarized in leadership dashboards. Evidence artifacts are retained in Confluence for at least 12 months.</w:t>
      </w:r>
    </w:p>
    <w:p>
      <w:pPr>
        <w:pStyle w:val="ListBullet"/>
      </w:pPr>
      <w:r>
        <w:t>The process integrates with Identity Access Gateway and depends on Kafka for telemetry signals.</w:t>
      </w:r>
    </w:p>
    <w:p>
      <w:pPr>
        <w:pStyle w:val="ListBullet"/>
      </w:pPr>
      <w:r>
        <w:t>The process integrates with Identity Access Gateway and depends on Kafka for telemetry signals.</w:t>
      </w:r>
    </w:p>
    <w:p>
      <w:pPr>
        <w:pStyle w:val="ListBullet"/>
      </w:pPr>
      <w:r>
        <w:t>All incidents are tagged with severity and mapped to service tiers.</w:t>
      </w:r>
    </w:p>
    <w:p>
      <w:pPr>
        <w:pStyle w:val="ListBullet"/>
      </w:pPr>
      <w:r>
        <w:t>We prioritize customer impact, data integrity, and regulatory alignment.</w:t>
      </w:r>
    </w:p>
    <w:p>
      <w:pPr>
        <w:pStyle w:val="Heading1"/>
      </w:pPr>
      <w:r>
        <w:t>Control Mapping</w:t>
      </w:r>
    </w:p>
    <w:p>
      <w:r>
        <w:t>The Human Resources team coordinates with Platform Engineer to maintain operational readiness. Systems are monitored via Kafka and alert routing in Confluence.</w:t>
      </w:r>
    </w:p>
    <w:p>
      <w:r>
        <w:t>Systems are monitored via Kafka and alert routing in Confluence. Systems are monitored via Kafka and alert routing in Confluence.</w:t>
      </w:r>
    </w:p>
    <w:p>
      <w:pPr>
        <w:pStyle w:val="ListBullet"/>
      </w:pPr>
      <w:r>
        <w:t>The process integrates with Identity Access Gateway and depends on Kafka for telemetry signals.</w:t>
      </w:r>
    </w:p>
    <w:p>
      <w:pPr>
        <w:pStyle w:val="ListBullet"/>
      </w:pPr>
      <w:r>
        <w:t>Risk acceptance must be documented and revalidated each quarter.</w:t>
      </w:r>
    </w:p>
    <w:p>
      <w:pPr>
        <w:pStyle w:val="ListBullet"/>
      </w:pPr>
      <w:r>
        <w:t>We prioritize customer impact, data integrity, and regulatory alignment.</w:t>
      </w:r>
    </w:p>
    <w:p>
      <w:pPr>
        <w:pStyle w:val="Heading1"/>
      </w:pPr>
      <w:r>
        <w:t>Evidence Collection</w:t>
      </w:r>
    </w:p>
    <w:p>
      <w:r>
        <w:t>This document aligns with PCI DSS requirements and supports APAC data residency expectations. We prioritize customer impact, data integrity, and regulatory alignment. Teams must log requests in Confluence and track outcomes in Identity Access Gateway for audit readiness. Evidence artifacts are retained in Confluence for at least 12 months.</w:t>
      </w:r>
    </w:p>
    <w:p>
      <w:r>
        <w:t>Systems are monitored via Kafka and alert routing in Confluence. Stakeholders include the Platform Engineer, service owner, and compliance lead for approvals. Teams must log requests in Confluence and track outcomes in Identity Access Gateway for audit readiness. The Human Resources team coordinates with Platform Engineer to maintain operational readiness.</w:t>
      </w:r>
    </w:p>
    <w:p>
      <w:pPr>
        <w:pStyle w:val="ListBullet"/>
      </w:pPr>
      <w:r>
        <w:t>Stakeholders include the Platform Engineer, service owner, and compliance lead for approvals.</w:t>
      </w:r>
    </w:p>
    <w:p>
      <w:pPr>
        <w:pStyle w:val="ListBullet"/>
      </w:pPr>
      <w:r>
        <w:t>Regional teams in APAC follow the same policy with localized legal review.</w:t>
      </w:r>
    </w:p>
    <w:p>
      <w:pPr>
        <w:pStyle w:val="ListBullet"/>
      </w:pPr>
      <w:r>
        <w:t>We prioritize customer impact, data integrity, and regulatory alignment.</w:t>
      </w:r>
    </w:p>
    <w:p>
      <w:pPr>
        <w:pStyle w:val="Heading1"/>
      </w:pPr>
      <w:r>
        <w:t>Testing Procedures</w:t>
      </w:r>
    </w:p>
    <w:p>
      <w:r>
        <w:t>Systems are monitored via Kafka and alert routing in Confluence. The Human Resources team coordinates with Platform Engineer to maintain operational readiness. Risk acceptance must be documented and revalidated each quarter.</w:t>
      </w:r>
    </w:p>
    <w:p>
      <w:pPr>
        <w:pStyle w:val="ListBullet"/>
      </w:pPr>
      <w:r>
        <w:t>Evidence artifacts are retained in Confluence for at least 12 months.</w:t>
      </w:r>
    </w:p>
    <w:p>
      <w:pPr>
        <w:pStyle w:val="ListBullet"/>
      </w:pPr>
      <w:r>
        <w:t>All incidents are tagged with severity and mapped to service tiers.</w:t>
      </w:r>
    </w:p>
    <w:p>
      <w:pPr>
        <w:pStyle w:val="ListBullet"/>
      </w:pPr>
      <w:r>
        <w:t>Stakeholders include the Platform Engineer, service owner, and compliance lead for approvals.</w:t>
      </w:r>
    </w:p>
    <w:p>
      <w:pPr>
        <w:pStyle w:val="ListBullet"/>
      </w:pPr>
      <w:r>
        <w:t>Escalations should follow the on-call rotation with a response target of 15 minutes.</w:t>
      </w:r>
    </w:p>
    <w:p>
      <w:pPr>
        <w:pStyle w:val="ListBullet"/>
      </w:pPr>
      <w:r>
        <w:t>Regional teams in APAC follow the same policy with localized legal review.</w:t>
      </w:r>
    </w:p>
    <w:p>
      <w:pPr>
        <w:pStyle w:val="ListBullet"/>
      </w:pPr>
      <w:r>
        <w:t>This document aligns with PCI DSS requirements and supports APAC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Patch window</w:t>
            </w:r>
          </w:p>
        </w:tc>
        <w:tc>
          <w:tcPr>
            <w:tcW w:type="dxa" w:w="2880"/>
          </w:tcPr>
          <w:p>
            <w:r>
              <w:t>Operations</w:t>
            </w:r>
          </w:p>
        </w:tc>
        <w:tc>
          <w:tcPr>
            <w:tcW w:type="dxa" w:w="2880"/>
          </w:tcPr>
          <w:p>
            <w:r>
              <w:t>Planned</w:t>
            </w:r>
          </w:p>
        </w:tc>
      </w:tr>
      <w:tr>
        <w:tc>
          <w:tcPr>
            <w:tcW w:type="dxa" w:w="2880"/>
          </w:tcPr>
          <w:p>
            <w:r>
              <w:t>Backup validation</w:t>
            </w:r>
          </w:p>
        </w:tc>
        <w:tc>
          <w:tcPr>
            <w:tcW w:type="dxa" w:w="2880"/>
          </w:tcPr>
          <w:p>
            <w:r>
              <w:t>Operations</w:t>
            </w:r>
          </w:p>
        </w:tc>
        <w:tc>
          <w:tcPr>
            <w:tcW w:type="dxa" w:w="2880"/>
          </w:tcPr>
          <w:p>
            <w:r>
              <w:t>Planned</w:t>
            </w:r>
          </w:p>
        </w:tc>
      </w:tr>
      <w:tr>
        <w:tc>
          <w:tcPr>
            <w:tcW w:type="dxa" w:w="2880"/>
          </w:tcPr>
          <w:p>
            <w:r>
              <w:t>Access review</w:t>
            </w:r>
          </w:p>
        </w:tc>
        <w:tc>
          <w:tcPr>
            <w:tcW w:type="dxa" w:w="2880"/>
          </w:tcPr>
          <w:p>
            <w:r>
              <w:t>Human Resources</w:t>
            </w:r>
          </w:p>
        </w:tc>
        <w:tc>
          <w:tcPr>
            <w:tcW w:type="dxa" w:w="2880"/>
          </w:tcPr>
          <w:p>
            <w:r>
              <w:t>Blocked</w:t>
            </w:r>
          </w:p>
        </w:tc>
      </w:tr>
    </w:tbl>
    <w:p>
      <w:pPr>
        <w:pStyle w:val="Heading1"/>
      </w:pPr>
      <w:r>
        <w:t>Reporting</w:t>
      </w:r>
    </w:p>
    <w:p>
      <w:r>
        <w:t>Systems are monitored via Kafka and alert routing in Confluence. Evidence artifacts are retained in Confluence for at least 12 months.</w:t>
      </w:r>
    </w:p>
    <w:p>
      <w:pPr>
        <w:pStyle w:val="ListBullet"/>
      </w:pPr>
      <w:r>
        <w:t>Regional teams in APAC follow the same policy with localized legal review.</w:t>
      </w:r>
    </w:p>
    <w:p>
      <w:pPr>
        <w:pStyle w:val="ListBullet"/>
      </w:pPr>
      <w:r>
        <w:t>Evidence artifacts are retained in Confluence for at least 12 months.</w:t>
      </w:r>
    </w:p>
    <w:p>
      <w:pPr>
        <w:pStyle w:val="ListBullet"/>
      </w:pPr>
      <w:r>
        <w:t>Systems are monitored via Kafka and alert routing in Confluence.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