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Compliance Documents - Human Resources EU v3.0</w:t>
      </w:r>
    </w:p>
    <w:p>
      <w:r>
        <w:t>Department: Human Resources</w:t>
      </w:r>
    </w:p>
    <w:p>
      <w:r>
        <w:t>Author: Alex Patel</w:t>
      </w:r>
    </w:p>
    <w:p>
      <w:r>
        <w:t>Created date: 2026-03-03</w:t>
      </w:r>
    </w:p>
    <w:p>
      <w:r>
        <w:t>Region: EU</w:t>
      </w:r>
    </w:p>
    <w:p>
      <w:r>
        <w:t>Version: 3.0</w:t>
      </w:r>
    </w:p>
    <w:p>
      <w:r>
        <w:t>This internal document is intended for authorized employees and outlines standard guidance for enterprise operations.</w:t>
      </w:r>
    </w:p>
    <w:p>
      <w:r>
        <w:t>Where possible, teams should reuse existing patterns, templates, and approved tooling to reduce operational risk.</w:t>
      </w:r>
    </w:p>
    <w:p>
      <w:r>
        <w:t>Any deviation from the described process must be approved through the documented exception workflow.</w:t>
      </w:r>
    </w:p>
    <w:p>
      <w:pPr>
        <w:pStyle w:val="Heading1"/>
      </w:pPr>
      <w:r>
        <w:t>Compliance Objective</w:t>
      </w:r>
    </w:p>
    <w:p>
      <w:r>
        <w:t>Evidence artifacts are retained in Google Workspace for at least 12 months. Evidence artifacts are retained in Google Workspace for at least 12 months. The Human Resources organization uses Datadog to enforce consistent service baselines. This document aligns with HIPAA requirements and supports EU data residency expectations.</w:t>
      </w:r>
    </w:p>
    <w:p>
      <w:pPr>
        <w:pStyle w:val="ListBullet"/>
      </w:pPr>
      <w:r>
        <w:t>All incidents are tagged with severity and mapped to service tiers.</w:t>
      </w:r>
    </w:p>
    <w:p>
      <w:pPr>
        <w:pStyle w:val="ListBullet"/>
      </w:pPr>
      <w:r>
        <w:t>Systems are monitored via Datadog and alert routing in Google Workspace.</w:t>
      </w:r>
    </w:p>
    <w:p>
      <w:pPr>
        <w:pStyle w:val="ListBullet"/>
      </w:pPr>
      <w:r>
        <w:t>Regional teams in EU follow the same policy with localized legal review.</w:t>
      </w:r>
    </w:p>
    <w:p>
      <w:pPr>
        <w:pStyle w:val="ListBullet"/>
      </w:pPr>
      <w:r>
        <w:t>Risk acceptance must be documented and revalidated each quarter.</w:t>
      </w:r>
    </w:p>
    <w:p>
      <w:pPr>
        <w:pStyle w:val="Heading1"/>
      </w:pPr>
      <w:r>
        <w:t>Control Mapping</w:t>
      </w:r>
    </w:p>
    <w:p>
      <w:r>
        <w:t>Escalations should follow the on-call rotation with a response target of 30 minutes. Audit sampling occurs monthly and is summarized in leadership dashboards. Evidence artifacts are retained in Google Workspace for at least 12 months. The Human Resources organization uses Datadog to enforce consistent service baselines.</w:t>
      </w:r>
    </w:p>
    <w:p>
      <w:r>
        <w:t>Audit sampling occurs monthly and is summarized in leadership dashboards. All incidents are tagged with severity and mapped to service tiers.</w:t>
      </w:r>
    </w:p>
    <w:p>
      <w:pPr>
        <w:pStyle w:val="ListBullet"/>
      </w:pPr>
      <w:r>
        <w:t>Systems are monitored via Datadog and alert routing in Google Workspace.</w:t>
      </w:r>
    </w:p>
    <w:p>
      <w:pPr>
        <w:pStyle w:val="ListBullet"/>
      </w:pPr>
      <w:r>
        <w:t>All incidents are tagged with severity and mapped to service tiers.</w:t>
      </w:r>
    </w:p>
    <w:p>
      <w:pPr>
        <w:pStyle w:val="ListBullet"/>
      </w:pPr>
      <w:r>
        <w:t>Regional teams in EU follow the same policy with localized legal review.</w:t>
      </w:r>
    </w:p>
    <w:p>
      <w:pPr>
        <w:pStyle w:val="Heading1"/>
      </w:pPr>
      <w:r>
        <w:t>Evidence Collection</w:t>
      </w:r>
    </w:p>
    <w:p>
      <w:r>
        <w:t>The process integrates with CRM Platform and depends on Datadog for telemetry signals. The Human Resources team coordinates with SRE to maintain operational readiness.</w:t>
      </w:r>
    </w:p>
    <w:p>
      <w:pPr>
        <w:pStyle w:val="ListBullet"/>
      </w:pPr>
      <w:r>
        <w:t>The process integrates with CRM Platform and depends on Datadog for telemetry signals.</w:t>
      </w:r>
    </w:p>
    <w:p>
      <w:pPr>
        <w:pStyle w:val="ListBullet"/>
      </w:pPr>
      <w:r>
        <w:t>The process integrates with CRM Platform and depends on Datadog for telemetry signals.</w:t>
      </w:r>
    </w:p>
    <w:p>
      <w:pPr>
        <w:pStyle w:val="ListBullet"/>
      </w:pPr>
      <w:r>
        <w:t>Teams must log requests in Google Workspace and track outcomes in CRM Platform for audit readiness.</w:t>
      </w:r>
    </w:p>
    <w:p>
      <w:pPr>
        <w:pStyle w:val="ListBullet"/>
      </w:pPr>
      <w:r>
        <w:t>Evidence artifacts are retained in Google Workspace for at least 12 months.</w:t>
      </w:r>
    </w:p>
    <w:p>
      <w:pPr>
        <w:pStyle w:val="ListBullet"/>
      </w:pPr>
      <w:r>
        <w:t>Audit sampling occurs monthly and is summarized in leadership dashboards.</w:t>
      </w:r>
    </w:p>
    <w:p>
      <w:pPr>
        <w:pStyle w:val="ListBullet"/>
      </w:pPr>
      <w:r>
        <w:t>Risk acceptance must be documented and revalidated each quarter.</w:t>
      </w:r>
    </w:p>
    <w:p>
      <w:pPr>
        <w:pStyle w:val="Heading1"/>
      </w:pPr>
      <w:r>
        <w:t>Testing Procedures</w:t>
      </w:r>
    </w:p>
    <w:p>
      <w:r>
        <w:t>The process integrates with CRM Platform and depends on Datadog for telemetry signals. Escalations should follow the on-call rotation with a response target of 30 minutes.</w:t>
      </w:r>
    </w:p>
    <w:p>
      <w:r>
        <w:t>Escalations should follow the on-call rotation with a response target of 30 minutes. Regional teams in EU follow the same policy with localized legal review. Audit sampling occurs monthly and is summarized in leadership dashboards.</w:t>
      </w:r>
    </w:p>
    <w:p>
      <w:pPr>
        <w:pStyle w:val="ListBullet"/>
      </w:pPr>
      <w:r>
        <w:t>Risk acceptance must be documented and revalidated each quarter.</w:t>
      </w:r>
    </w:p>
    <w:p>
      <w:pPr>
        <w:pStyle w:val="ListBullet"/>
      </w:pPr>
      <w:r>
        <w:t>Stakeholders include the SRE, service owner, and compliance lead for approvals.</w:t>
      </w:r>
    </w:p>
    <w:p>
      <w:pPr>
        <w:pStyle w:val="ListBullet"/>
      </w:pPr>
      <w:r>
        <w:t>All incidents are tagged with severity and mapped to service tiers.</w:t>
      </w:r>
    </w:p>
    <w:p>
      <w:pPr>
        <w:pStyle w:val="ListBullet"/>
      </w:pPr>
      <w:r>
        <w:t>The Human Resources team coordinates with SRE to maintain operational readiness.</w:t>
      </w:r>
    </w:p>
    <w:p>
      <w:pPr>
        <w:pStyle w:val="Heading1"/>
      </w:pPr>
      <w:r>
        <w:t>Reporting</w:t>
      </w:r>
    </w:p>
    <w:p>
      <w:r>
        <w:t>Regional teams in EU follow the same policy with localized legal review. The Human Resources organization uses Datadog to enforce consistent service baselines.</w:t>
      </w:r>
    </w:p>
    <w:p>
      <w:pPr>
        <w:pStyle w:val="ListBullet"/>
      </w:pPr>
      <w:r>
        <w:t>The Human Resources team coordinates with SRE to maintain operational readiness.</w:t>
      </w:r>
    </w:p>
    <w:p>
      <w:pPr>
        <w:pStyle w:val="ListBullet"/>
      </w:pPr>
      <w:r>
        <w:t>The process integrates with CRM Platform and depends on Datadog for telemetry signals.</w:t>
      </w:r>
    </w:p>
    <w:p>
      <w:pPr>
        <w:pStyle w:val="ListBullet"/>
      </w:pPr>
      <w:r>
        <w:t>Audit sampling occurs monthly and is summarized in leadership dashboards.</w:t>
      </w:r>
    </w:p>
    <w:p>
      <w:pPr>
        <w:pStyle w:val="ListBullet"/>
      </w:pPr>
      <w:r>
        <w:t>Stakeholders include the SRE, service owner, and compliance lead for approvals.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