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Security US v3.0</w:t>
      </w:r>
    </w:p>
    <w:p>
      <w:r>
        <w:t>Department: Security</w:t>
      </w:r>
    </w:p>
    <w:p>
      <w:r>
        <w:t>Author: Taylor Kim</w:t>
      </w:r>
    </w:p>
    <w:p>
      <w:r>
        <w:t>Created date: 2024-12-24</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Evidence artifacts are retained in Salesforce for at least 12 months. All changes require peer review and validation in the Customer Data Lake before production promotion.</w:t>
      </w:r>
    </w:p>
    <w:p>
      <w:r>
        <w:t>We prioritize customer impact, data integrity, and regulatory alignment. Risk acceptance must be documented and revalidated each quarter. Evidence artifacts are retained in Salesforce for at least 12 months.</w:t>
      </w:r>
    </w:p>
    <w:p>
      <w:pPr>
        <w:pStyle w:val="ListBullet"/>
      </w:pPr>
      <w:r>
        <w:t>This document aligns with PCI DSS requirements and supports US data residency expectations.</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Control Mapping</w:t>
      </w:r>
    </w:p>
    <w:p>
      <w:r>
        <w:t>Evidence artifacts are retained in Salesforce for at least 12 months. Stakeholders include the Compliance Manager, service owner, and compliance lead for approvals. This document aligns with PCI DSS requirements and supports US data residency expectations.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The Security organization uses ServiceNow to enforce consistent service baselines.</w:t>
      </w:r>
    </w:p>
    <w:p>
      <w:pPr>
        <w:pStyle w:val="ListBullet"/>
      </w:pPr>
      <w:r>
        <w:t>All incidents are tagged with severity and mapped to service tiers.</w:t>
      </w:r>
    </w:p>
    <w:p>
      <w:pPr>
        <w:pStyle w:val="ListBullet"/>
      </w:pPr>
      <w:r>
        <w:t>Risk acceptance must be documented and revalidated each quarter.</w:t>
      </w:r>
    </w:p>
    <w:p>
      <w:pPr>
        <w:pStyle w:val="Heading1"/>
      </w:pPr>
      <w:r>
        <w:t>Evidence Collection</w:t>
      </w:r>
    </w:p>
    <w:p>
      <w:r>
        <w:t>Audit sampling occurs monthly and is summarized in leadership dashboards. The process integrates with Customer Data Lake and depends on ServiceNow for telemetry signals. Audit sampling occurs monthly and is summarized in leadership dashboards. Regional teams in US follow the same policy with localized legal review.</w:t>
      </w:r>
    </w:p>
    <w:p>
      <w:r>
        <w:t>All changes require peer review and validation in the Customer Data Lake before production promotion. Escalations should follow the on-call rotation with a response target of 45 minutes.</w:t>
      </w:r>
    </w:p>
    <w:p>
      <w:pPr>
        <w:pStyle w:val="ListBullet"/>
      </w:pPr>
      <w:r>
        <w:t>Stakeholders include the Compliance Manager, service owner, and compliance lead for approvals.</w:t>
      </w:r>
    </w:p>
    <w:p>
      <w:pPr>
        <w:pStyle w:val="ListBullet"/>
      </w:pPr>
      <w:r>
        <w:t>This document aligns with PCI DSS requirements and supports US data residency expectations.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Vendor check</w:t>
            </w:r>
          </w:p>
        </w:tc>
        <w:tc>
          <w:tcPr>
            <w:tcW w:type="dxa" w:w="2880"/>
          </w:tcPr>
          <w:p>
            <w:r>
              <w:t>Security</w:t>
            </w:r>
          </w:p>
        </w:tc>
        <w:tc>
          <w:tcPr>
            <w:tcW w:type="dxa" w:w="2880"/>
          </w:tcPr>
          <w:p>
            <w:r>
              <w:t>Complete</w:t>
            </w:r>
          </w:p>
        </w:tc>
      </w:tr>
      <w:tr>
        <w:tc>
          <w:tcPr>
            <w:tcW w:type="dxa" w:w="2880"/>
          </w:tcPr>
          <w:p>
            <w:r>
              <w:t>Patch window</w:t>
            </w:r>
          </w:p>
        </w:tc>
        <w:tc>
          <w:tcPr>
            <w:tcW w:type="dxa" w:w="2880"/>
          </w:tcPr>
          <w:p>
            <w:r>
              <w:t>Operations</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bl>
    <w:p>
      <w:pPr>
        <w:pStyle w:val="Heading1"/>
      </w:pPr>
      <w:r>
        <w:t>Testing Procedures</w:t>
      </w:r>
    </w:p>
    <w:p>
      <w:r>
        <w:t>Audit sampling occurs monthly and is summarized in leadership dashboards. Evidence artifacts are retained in Salesforce for at least 12 months. Systems are monitored via ServiceNow and alert routing in Salesforce. Systems are monitored via ServiceNow and alert routing in Salesforce.</w:t>
      </w:r>
    </w:p>
    <w:p>
      <w:r>
        <w:t>The Security organization uses ServiceNow to enforce consistent service baselines. Audit sampling occurs monthly and is summarized in leadership dashboards.</w:t>
      </w:r>
    </w:p>
    <w:p>
      <w:pPr>
        <w:pStyle w:val="ListBullet"/>
      </w:pPr>
      <w:r>
        <w:t>Evidence artifacts are retained in Salesforce for at least 12 months.</w:t>
      </w:r>
    </w:p>
    <w:p>
      <w:pPr>
        <w:pStyle w:val="ListBullet"/>
      </w:pPr>
      <w:r>
        <w:t>Teams must log requests in Salesforce and track outcomes in Customer Data Lake for audit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This document aligns with PCI DSS requirements and supports US data residency expectations.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Reporting</w:t>
      </w:r>
    </w:p>
    <w:p>
      <w:r>
        <w:t>Escalations should follow the on-call rotation with a response target of 45 minutes. Teams must log requests in Salesforce and track outcomes in Customer Data Lake for audit readiness. All incidents are tagged with severity and mapped to service tiers. The Security organization uses ServiceNow to enforce consistent service baselines.</w:t>
      </w:r>
    </w:p>
    <w:p>
      <w:r>
        <w:t>Risk acceptance must be documented and revalidated each quarter. The process integrates with Customer Data Lake and depends on ServiceNow for telemetry signals. The process integrates with Customer Data Lake and depends on ServiceNow for telemetry signals.</w:t>
      </w:r>
    </w:p>
    <w:p>
      <w:pPr>
        <w:pStyle w:val="ListBullet"/>
      </w:pPr>
      <w:r>
        <w:t>Evidence artifacts are retained in Salesforce for at least 12 months.</w:t>
      </w:r>
    </w:p>
    <w:p>
      <w:pPr>
        <w:pStyle w:val="ListBullet"/>
      </w:pPr>
      <w:r>
        <w:t>All changes require peer review and validation in the Customer Data Lake before production promotion.</w:t>
      </w:r>
    </w:p>
    <w:p>
      <w:pPr>
        <w:pStyle w:val="ListBullet"/>
      </w:pPr>
      <w:r>
        <w:t>The Security team coordinates with Compliance Manager to maintain operational readiness.</w:t>
      </w:r>
    </w:p>
    <w:p>
      <w:pPr>
        <w:pStyle w:val="ListBullet"/>
      </w:pPr>
      <w:r>
        <w:t>The Security team coordinates with Compliance Manager to maintain operational readiness.</w:t>
      </w:r>
    </w:p>
    <w:p>
      <w:pPr>
        <w:pStyle w:val="ListBullet"/>
      </w:pPr>
      <w:r>
        <w:t>All changes require peer review and validation in the Customer Data Lake before production promotion.</w:t>
      </w:r>
    </w:p>
    <w:p>
      <w:pPr>
        <w:pStyle w:val="ListBullet"/>
      </w:pPr>
      <w:r>
        <w:t>Regional teams in US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