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Cloud Infrastructure EU v2.1</w:t>
      </w:r>
    </w:p>
    <w:p>
      <w:r>
        <w:t>Department: Cloud Infrastructure</w:t>
      </w:r>
    </w:p>
    <w:p>
      <w:r>
        <w:t>Author: Riley Patel</w:t>
      </w:r>
    </w:p>
    <w:p>
      <w:r>
        <w:t>Created date: 2025-12-03</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Cloud Infrastructure team coordinates with Finance Analyst to maintain operational readiness. Evidence artifacts are retained in Jira for at least 18 months. Teams must log requests in Jira and track outcomes in Identity Access Gateway for audit readiness. Audit sampling occurs monthly and is summarized in leadership dashboards.</w:t>
      </w:r>
    </w:p>
    <w:p>
      <w:r>
        <w:t>Risk acceptance must be documented and revalidated each quarter. Evidence artifacts are retained in Jira for at least 18 months.</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Stakeholders include the Finance Analyst, service owner, and compliance lead for approvals.</w:t>
      </w:r>
    </w:p>
    <w:p>
      <w:pPr>
        <w:pStyle w:val="ListBullet"/>
      </w:pPr>
      <w:r>
        <w:t>This document aligns with SOC 2 requirements and supports EU data residency expectations.</w:t>
      </w:r>
    </w:p>
    <w:p>
      <w:pPr>
        <w:pStyle w:val="ListBullet"/>
      </w:pPr>
      <w:r>
        <w:t>Evidence artifacts are retained in Jira for at least 18 months.</w:t>
      </w:r>
    </w:p>
    <w:p>
      <w:pPr>
        <w:pStyle w:val="ListBullet"/>
      </w:pPr>
      <w:r>
        <w:t>Evidence artifacts are retained in Jira for at least 18 months.</w:t>
      </w:r>
    </w:p>
    <w:p>
      <w:pPr>
        <w:pStyle w:val="Heading1"/>
      </w:pPr>
      <w:r>
        <w:t>Triage</w:t>
      </w:r>
    </w:p>
    <w:p>
      <w:r>
        <w:t>Evidence artifacts are retained in Jira for at least 18 months. We prioritize customer impact, data integrity, and regulatory alignment. Regional teams in EU follow the same policy with localized legal review.</w:t>
      </w:r>
    </w:p>
    <w:p>
      <w:r>
        <w:t>Escalations should follow the on-call rotation with a response target of 60 minutes. We prioritize customer impact, data integrity, and regulatory alignment. Escalations should follow the on-call rotation with a response target of 60 minutes. Stakeholders include the Finance Analyst, service owner, and compliance lead for approvals.</w:t>
      </w:r>
    </w:p>
    <w:p>
      <w:pPr>
        <w:pStyle w:val="ListBullet"/>
      </w:pPr>
      <w:r>
        <w:t>Risk acceptance must be documented and revalidated each quarter.</w:t>
      </w:r>
    </w:p>
    <w:p>
      <w:pPr>
        <w:pStyle w:val="ListBullet"/>
      </w:pPr>
      <w:r>
        <w:t>Risk acceptance must be documented and revalidated each quarter.</w:t>
      </w:r>
    </w:p>
    <w:p>
      <w:pPr>
        <w:pStyle w:val="ListBullet"/>
      </w:pPr>
      <w:r>
        <w:t>The process integrates with Identity Access Gateway and depends on Redis for telemetry signals.</w:t>
      </w:r>
    </w:p>
    <w:p>
      <w:pPr>
        <w:pStyle w:val="ListBullet"/>
      </w:pPr>
      <w:r>
        <w:t>The Cloud Infrastructure organization uses Redis to enforce consistent service baselines.</w:t>
      </w:r>
    </w:p>
    <w:p>
      <w:pPr>
        <w:pStyle w:val="ListBullet"/>
      </w:pPr>
      <w:r>
        <w:t>The Cloud Infrastructure organization uses Redis to enforce consistent service baselines.</w:t>
      </w:r>
    </w:p>
    <w:p>
      <w:pPr>
        <w:pStyle w:val="ListBullet"/>
      </w:pPr>
      <w:r>
        <w:t>The Cloud Infrastructure team coordinates with Finance Analyst to maintain operational readiness.</w:t>
      </w:r>
    </w:p>
    <w:p>
      <w:pPr>
        <w:pStyle w:val="Heading1"/>
      </w:pPr>
      <w:r>
        <w:t>Resolution</w:t>
      </w:r>
    </w:p>
    <w:p>
      <w:r>
        <w:t>We prioritize customer impact, data integrity, and regulatory alignment. We prioritize customer impact, data integrity, and regulatory alignment.</w:t>
      </w:r>
    </w:p>
    <w:p>
      <w:pPr>
        <w:pStyle w:val="ListBullet"/>
      </w:pPr>
      <w:r>
        <w:t>Stakeholders include the Finance Analyst, service owner, and compliance lead for approvals.</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Teams must log requests in Jira and track outcomes in Identity Access Gateway for audit readiness.</w:t>
      </w:r>
    </w:p>
    <w:p>
      <w:pPr>
        <w:pStyle w:val="ListBullet"/>
      </w:pPr>
      <w:r>
        <w:t>Regional teams in EU follow the same policy with localized legal review.</w:t>
      </w:r>
    </w:p>
    <w:p>
      <w:pPr>
        <w:pStyle w:val="Heading1"/>
      </w:pPr>
      <w:r>
        <w:t>Escalation</w:t>
      </w:r>
    </w:p>
    <w:p>
      <w:r>
        <w:t>Risk acceptance must be documented and revalidated each quarter. The Cloud Infrastructure organization uses Redis to enforce consistent service baselines. The process integrates with Identity Access Gateway and depends on Redis for telemetry signals.</w:t>
      </w:r>
    </w:p>
    <w:p>
      <w:r>
        <w:t>Systems are monitored via Redis and alert routing in Jira. The Cloud Infrastructure team coordinates with Finance Analyst to maintain operational readiness. The Cloud Infrastructure organization uses Redis to enforce consistent service baselines. Stakeholders include the Finance Analyst, service owner, and compliance lead for approvals.</w:t>
      </w:r>
    </w:p>
    <w:p>
      <w:pPr>
        <w:pStyle w:val="ListBullet"/>
      </w:pPr>
      <w:r>
        <w:t>The Cloud Infrastructure team coordinates with Finance Analyst to maintain operational readiness.</w:t>
      </w:r>
    </w:p>
    <w:p>
      <w:pPr>
        <w:pStyle w:val="ListBullet"/>
      </w:pPr>
      <w:r>
        <w:t>The Cloud Infrastructure team coordinates with Finance Analyst to maintain operational readiness.</w:t>
      </w:r>
    </w:p>
    <w:p>
      <w:pPr>
        <w:pStyle w:val="ListBullet"/>
      </w:pPr>
      <w:r>
        <w:t>This document aligns with SOC 2 requirements and supports EU data residency expectations.</w:t>
      </w:r>
    </w:p>
    <w:p>
      <w:pPr>
        <w:pStyle w:val="Heading1"/>
      </w:pPr>
      <w:r>
        <w:t>Customer Follow-Up</w:t>
      </w:r>
    </w:p>
    <w:p>
      <w:r>
        <w:t>The Cloud Infrastructure team coordinates with Finance Analyst to maintain operational readiness. This document aligns with SOC 2 requirements and supports EU data residency expectations. All incidents are tagged with severity and mapped to service tiers.</w:t>
      </w:r>
    </w:p>
    <w:p>
      <w:pPr>
        <w:pStyle w:val="ListBullet"/>
      </w:pPr>
      <w:r>
        <w:t>The process integrates with Identity Access Gateway and depends on Redis for telemetry signals.</w:t>
      </w:r>
    </w:p>
    <w:p>
      <w:pPr>
        <w:pStyle w:val="ListBullet"/>
      </w:pPr>
      <w:r>
        <w:t>Risk acceptance must be documented and revalidated each quarter.</w:t>
      </w:r>
    </w:p>
    <w:p>
      <w:pPr>
        <w:pStyle w:val="ListBullet"/>
      </w:pPr>
      <w:r>
        <w:t>Systems are monitored via Redis and alert routing in Jira.</w:t>
      </w:r>
    </w:p>
    <w:p>
      <w:pPr>
        <w:pStyle w:val="ListBullet"/>
      </w:pPr>
      <w:r>
        <w:t>Systems are monitored via Redis and alert routing in Jira.</w:t>
      </w:r>
    </w:p>
    <w:p>
      <w:pPr>
        <w:pStyle w:val="ListBullet"/>
      </w:pPr>
      <w:r>
        <w:t>All changes require peer review and validation in the Identity Access Gateway before production promotion.</w:t>
      </w:r>
    </w:p>
    <w:p>
      <w:pPr>
        <w:pStyle w:val="ListBullet"/>
      </w:pPr>
      <w:r>
        <w:t>The Cloud Infrastructure organization uses Redis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