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APAC v3.0</w:t>
      </w:r>
    </w:p>
    <w:p>
      <w:r>
        <w:t>Department: Compliance</w:t>
      </w:r>
    </w:p>
    <w:p>
      <w:r>
        <w:t>Author: Jordan Lee</w:t>
      </w:r>
    </w:p>
    <w:p>
      <w:r>
        <w:t>Created date: 2025-08-07</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changes require peer review and validation in the Log Aggregation Cluster before production promotion. All changes require peer review and validation in the Log Aggregation Cluster before production promotion. This document aligns with SOX requirements and supports APAC data residency expectations. Teams must log requests in Microsoft 365 and track outcomes in Log Aggregation Cluster for audit readiness.</w:t>
      </w:r>
    </w:p>
    <w:p>
      <w:r>
        <w:t>All changes require peer review and validation in the Log Aggregation Cluster before production promotion. This document aligns with SOX requirements and supports APAC data residency expectations. Escalations should follow the on-call rotation with a response target of 60 minutes. We prioritize customer impact, data integrity, and regulatory alignment.</w:t>
      </w:r>
    </w:p>
    <w:p>
      <w:pPr>
        <w:pStyle w:val="ListBullet"/>
      </w:pPr>
      <w:r>
        <w:t>Systems are monitored via Azure and alert routing in Microsoft 365.</w:t>
      </w:r>
    </w:p>
    <w:p>
      <w:pPr>
        <w:pStyle w:val="ListBullet"/>
      </w:pPr>
      <w:r>
        <w:t>This document aligns with SOX requirements and supports APAC data residency expectations.</w:t>
      </w:r>
    </w:p>
    <w:p>
      <w:pPr>
        <w:pStyle w:val="ListBullet"/>
      </w:pPr>
      <w:r>
        <w:t>The Compliance team coordinates with Procurement Lead to maintain operational readiness.</w:t>
      </w:r>
    </w:p>
    <w:p>
      <w:pPr>
        <w:pStyle w:val="ListBullet"/>
      </w:pPr>
      <w:r>
        <w:t>We prioritize customer impact, data integrity, and regulatory alignment.</w:t>
      </w:r>
    </w:p>
    <w:p>
      <w:pPr>
        <w:pStyle w:val="Heading1"/>
      </w:pPr>
      <w:r>
        <w:t>Triage</w:t>
      </w:r>
    </w:p>
    <w:p>
      <w:r>
        <w:t>All changes require peer review and validation in the Log Aggregation Cluster before production promotion. This document aligns with SOX requirements and supports APAC data residency expectations. Teams must log requests in Microsoft 365 and track outcomes in Log Aggregation Cluster for audit readiness.</w:t>
      </w:r>
    </w:p>
    <w:p>
      <w:r>
        <w:t>All changes require peer review and validation in the Log Aggregation Cluster before production promotion. This document aligns with SOX requirements and supports APAC data residency expectations. All incidents are tagged with severity and mapped to service tiers. Stakeholders include the Procurement Lead, service owner, and compliance lead for approvals.</w:t>
      </w:r>
    </w:p>
    <w:p>
      <w:pPr>
        <w:pStyle w:val="ListBullet"/>
      </w:pPr>
      <w:r>
        <w:t>We prioritize customer impact, data integrity, and regulatory alignment.</w:t>
      </w:r>
    </w:p>
    <w:p>
      <w:pPr>
        <w:pStyle w:val="ListBullet"/>
      </w:pPr>
      <w:r>
        <w:t>This document aligns with SOX requirements and supports APAC data residency expectations.</w:t>
      </w:r>
    </w:p>
    <w:p>
      <w:pPr>
        <w:pStyle w:val="ListBullet"/>
      </w:pPr>
      <w:r>
        <w:t>Systems are monitored via Azure and alert routing in Microsoft 365.</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w:t>
            </w:r>
          </w:p>
        </w:tc>
        <w:tc>
          <w:tcPr>
            <w:tcW w:type="dxa" w:w="2880"/>
          </w:tcPr>
          <w:p>
            <w:r>
              <w:t>Planned</w:t>
            </w:r>
          </w:p>
        </w:tc>
      </w:tr>
      <w:tr>
        <w:tc>
          <w:tcPr>
            <w:tcW w:type="dxa" w:w="2880"/>
          </w:tcPr>
          <w:p>
            <w:r>
              <w:t>Access review</w:t>
            </w:r>
          </w:p>
        </w:tc>
        <w:tc>
          <w:tcPr>
            <w:tcW w:type="dxa" w:w="2880"/>
          </w:tcPr>
          <w:p>
            <w:r>
              <w:t>Procurement Lead</w:t>
            </w:r>
          </w:p>
        </w:tc>
        <w:tc>
          <w:tcPr>
            <w:tcW w:type="dxa" w:w="2880"/>
          </w:tcPr>
          <w:p>
            <w:r>
              <w:t>Complete</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Access review</w:t>
            </w:r>
          </w:p>
        </w:tc>
        <w:tc>
          <w:tcPr>
            <w:tcW w:type="dxa" w:w="2880"/>
          </w:tcPr>
          <w:p>
            <w:r>
              <w:t>Security</w:t>
            </w:r>
          </w:p>
        </w:tc>
        <w:tc>
          <w:tcPr>
            <w:tcW w:type="dxa" w:w="2880"/>
          </w:tcPr>
          <w:p>
            <w:r>
              <w:t>Complete</w:t>
            </w:r>
          </w:p>
        </w:tc>
      </w:tr>
    </w:tbl>
    <w:p>
      <w:pPr>
        <w:pStyle w:val="Heading1"/>
      </w:pPr>
      <w:r>
        <w:t>Resolution</w:t>
      </w:r>
    </w:p>
    <w:p>
      <w:r>
        <w:t>Evidence artifacts are retained in Microsoft 365 for at least 24 months. The Compliance organization uses Azure to enforce consistent service baselines. The Compliance organization uses Azure to enforce consistent service baselines.</w:t>
      </w:r>
    </w:p>
    <w:p>
      <w:r>
        <w:t>This document aligns with SOX requirements and supports APAC data residency expectations. Teams must log requests in Microsoft 365 and track outcomes in Log Aggregation Cluster for audit readiness. The Compliance team coordinates with Procurement Lead to maintain operational readiness.</w:t>
      </w:r>
    </w:p>
    <w:p>
      <w:pPr>
        <w:pStyle w:val="ListBullet"/>
      </w:pPr>
      <w:r>
        <w:t>All changes require peer review and validation in the Log Aggregation Cluster before production promotion.</w:t>
      </w:r>
    </w:p>
    <w:p>
      <w:pPr>
        <w:pStyle w:val="ListBullet"/>
      </w:pPr>
      <w:r>
        <w:t>Evidence artifacts are retained in Microsoft 365 for at least 24 months.</w:t>
      </w:r>
    </w:p>
    <w:p>
      <w:pPr>
        <w:pStyle w:val="ListBullet"/>
      </w:pPr>
      <w:r>
        <w:t>The Compliance team coordinates with Procurement Lead to maintain operational readiness.</w:t>
      </w:r>
    </w:p>
    <w:p>
      <w:pPr>
        <w:pStyle w:val="ListBullet"/>
      </w:pPr>
      <w:r>
        <w:t>All incidents are tagged with severity and mapped to service tiers.</w:t>
      </w:r>
    </w:p>
    <w:p>
      <w:pPr>
        <w:pStyle w:val="ListBullet"/>
      </w:pPr>
      <w:r>
        <w:t>Risk acceptance must be documented and revalidated each quarter.</w:t>
      </w:r>
    </w:p>
    <w:p>
      <w:pPr>
        <w:pStyle w:val="Heading1"/>
      </w:pPr>
      <w:r>
        <w:t>Escalation</w:t>
      </w:r>
    </w:p>
    <w:p>
      <w:r>
        <w:t>Regional teams in APAC follow the same policy with localized legal review. The Compliance organization uses Azure to enforce consistent service baselines. Escalations should follow the on-call rotation with a response target of 60 minutes.</w:t>
      </w:r>
    </w:p>
    <w:p>
      <w:r>
        <w:t>The Compliance team coordinates with Procurement Lead to maintain operational readiness. Teams must log requests in Microsoft 365 and track outcomes in Log Aggregation Cluster for audit readiness.</w:t>
      </w:r>
    </w:p>
    <w:p>
      <w:pPr>
        <w:pStyle w:val="ListBullet"/>
      </w:pPr>
      <w:r>
        <w:t>We prioritize customer impact, data integrity, and regulatory alignment.</w:t>
      </w:r>
    </w:p>
    <w:p>
      <w:pPr>
        <w:pStyle w:val="ListBullet"/>
      </w:pPr>
      <w:r>
        <w:t>The process integrates with Log Aggregation Cluster and depends on Azure for telemetry signals.</w:t>
      </w:r>
    </w:p>
    <w:p>
      <w:pPr>
        <w:pStyle w:val="ListBullet"/>
      </w:pPr>
      <w:r>
        <w:t>Teams must log requests in Microsoft 365 and track outcomes in Log Aggregation Cluster for audit readiness.</w:t>
      </w:r>
    </w:p>
    <w:p>
      <w:pPr>
        <w:pStyle w:val="ListBullet"/>
      </w:pPr>
      <w:r>
        <w:t>Teams must log requests in Microsoft 365 and track outcomes in Log Aggregation Cluster for audit readiness.</w:t>
      </w:r>
    </w:p>
    <w:p>
      <w:pPr>
        <w:pStyle w:val="ListBullet"/>
      </w:pPr>
      <w:r>
        <w:t>Systems are monitored via Azure and alert routing in Microsoft 365.</w:t>
      </w:r>
    </w:p>
    <w:p>
      <w:pPr>
        <w:pStyle w:val="ListBullet"/>
      </w:pPr>
      <w:r>
        <w:t>This document aligns with SOX requirements and supports APAC data residency expectations.</w:t>
      </w:r>
    </w:p>
    <w:p>
      <w:pPr>
        <w:pStyle w:val="Heading1"/>
      </w:pPr>
      <w:r>
        <w:t>Customer Follow-Up</w:t>
      </w:r>
    </w:p>
    <w:p>
      <w:r>
        <w:t>Risk acceptance must be documented and revalidated each quarter. This document aligns with SOX requirements and supports APAC data residency expectations. The Compliance team coordinates with Procurement Lead to maintain operational readiness. Escalations should follow the on-call rotation with a response target of 60 minutes.</w:t>
      </w:r>
    </w:p>
    <w:p>
      <w:pPr>
        <w:pStyle w:val="ListBullet"/>
      </w:pPr>
      <w:r>
        <w:t>Escalations should follow the on-call rotation with a response target of 60 minutes.</w:t>
      </w:r>
    </w:p>
    <w:p>
      <w:pPr>
        <w:pStyle w:val="ListBullet"/>
      </w:pPr>
      <w:r>
        <w:t>This document aligns with SOX requirements and supports APAC data residency expectations.</w:t>
      </w:r>
    </w:p>
    <w:p>
      <w:pPr>
        <w:pStyle w:val="ListBullet"/>
      </w:pPr>
      <w:r>
        <w:t>All changes require peer review and validation in the Log Aggregation Cluster before production promotion.</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