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Compliance APAC v1.2</w:t>
      </w:r>
    </w:p>
    <w:p>
      <w:r>
        <w:t>Department: Compliance</w:t>
      </w:r>
    </w:p>
    <w:p>
      <w:r>
        <w:t>Author: Avery Brown</w:t>
      </w:r>
    </w:p>
    <w:p>
      <w:r>
        <w:t>Created date: 2024-05-01</w:t>
      </w:r>
    </w:p>
    <w:p>
      <w:r>
        <w:t>Region: APAC</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Systems are monitored via PostgreSQL and alert routing in Google Workspace. We prioritize customer impact, data integrity, and regulatory alignment. The process integrates with ERP System and depends on PostgreSQL for telemetry signals. All changes require peer review and validation in the ERP System before production promotion.</w:t>
      </w:r>
    </w:p>
    <w:p>
      <w:pPr>
        <w:pStyle w:val="ListBullet"/>
      </w:pPr>
      <w:r>
        <w:t>Regional teams in APAC follow the same policy with localized legal review.</w:t>
      </w:r>
    </w:p>
    <w:p>
      <w:pPr>
        <w:pStyle w:val="ListBullet"/>
      </w:pPr>
      <w:r>
        <w:t>Audit sampling occurs monthly and is summarized in leadership dashboards.</w:t>
      </w:r>
    </w:p>
    <w:p>
      <w:pPr>
        <w:pStyle w:val="ListBullet"/>
      </w:pPr>
      <w:r>
        <w:t>All changes require peer review and validation in the ERP System before production promotion.</w:t>
      </w:r>
    </w:p>
    <w:p>
      <w:pPr>
        <w:pStyle w:val="ListBullet"/>
      </w:pPr>
      <w:r>
        <w:t>The process integrates with ERP System and depends on PostgreSQL for telemetry signals.</w:t>
      </w:r>
    </w:p>
    <w:p>
      <w:pPr>
        <w:pStyle w:val="Heading1"/>
      </w:pPr>
      <w:r>
        <w:t>Triage</w:t>
      </w:r>
    </w:p>
    <w:p>
      <w:r>
        <w:t>All incidents are tagged with severity and mapped to service tiers. Risk acceptance must be documented and revalidated each quarter.</w:t>
      </w:r>
    </w:p>
    <w:p>
      <w:pPr>
        <w:pStyle w:val="ListBullet"/>
      </w:pPr>
      <w:r>
        <w:t>All incidents are tagged with severity and mapped to service tiers.</w:t>
      </w:r>
    </w:p>
    <w:p>
      <w:pPr>
        <w:pStyle w:val="ListBullet"/>
      </w:pPr>
      <w:r>
        <w:t>Escalations should follow the on-call rotation with a response target of 45 minutes.</w:t>
      </w:r>
    </w:p>
    <w:p>
      <w:pPr>
        <w:pStyle w:val="ListBullet"/>
      </w:pPr>
      <w:r>
        <w:t>The Compliance organization uses PostgreSQL to enforce consistent service baselines.</w:t>
      </w:r>
    </w:p>
    <w:p>
      <w:pPr>
        <w:pStyle w:val="ListBullet"/>
      </w:pPr>
      <w:r>
        <w:t>The Compliance organization uses PostgreSQL to enforce consistent service baselines.</w:t>
      </w:r>
    </w:p>
    <w:p>
      <w:pPr>
        <w:pStyle w:val="Heading1"/>
      </w:pPr>
      <w:r>
        <w:t>Resolution</w:t>
      </w:r>
    </w:p>
    <w:p>
      <w:r>
        <w:t>The Compliance organization uses PostgreSQL to enforce consistent service baselines. We prioritize customer impact, data integrity, and regulatory alignment.</w:t>
      </w:r>
    </w:p>
    <w:p>
      <w:r>
        <w:t>Risk acceptance must be documented and revalidated each quarter. All incidents are tagged with severity and mapped to service tiers. Teams must log requests in Google Workspace and track outcomes in ERP System for audit readiness. Evidence artifacts are retained in Google Workspace for at least 18 months.</w:t>
      </w:r>
    </w:p>
    <w:p>
      <w:pPr>
        <w:pStyle w:val="ListBullet"/>
      </w:pPr>
      <w:r>
        <w:t>Teams must log requests in Google Workspace and track outcomes in ERP System for audit readiness.</w:t>
      </w:r>
    </w:p>
    <w:p>
      <w:pPr>
        <w:pStyle w:val="ListBullet"/>
      </w:pPr>
      <w:r>
        <w:t>Teams must log requests in Google Workspace and track outcomes in ERP System for audit readiness.</w:t>
      </w:r>
    </w:p>
    <w:p>
      <w:pPr>
        <w:pStyle w:val="ListBullet"/>
      </w:pPr>
      <w:r>
        <w:t>Audit sampling occurs monthly and is summarized in leadership dashboards.</w:t>
      </w:r>
    </w:p>
    <w:p>
      <w:pPr>
        <w:pStyle w:val="ListBullet"/>
      </w:pPr>
      <w:r>
        <w:t>Evidence artifacts are retained in Google Workspace for at least 18 months.</w:t>
      </w:r>
    </w:p>
    <w:p>
      <w:pPr>
        <w:pStyle w:val="ListBullet"/>
      </w:pPr>
      <w:r>
        <w:t>All incidents are tagged with severity and mapped to service tiers.</w:t>
      </w:r>
    </w:p>
    <w:p>
      <w:pPr>
        <w:pStyle w:val="ListBullet"/>
      </w:pPr>
      <w:r>
        <w:t>The Compliance team coordinates with Platform Engineer to maintain operational readiness.</w:t>
      </w:r>
    </w:p>
    <w:p>
      <w:pPr>
        <w:pStyle w:val="Heading1"/>
      </w:pPr>
      <w:r>
        <w:t>Escalation</w:t>
      </w:r>
    </w:p>
    <w:p>
      <w:r>
        <w:t>We prioritize customer impact, data integrity, and regulatory alignment. Audit sampling occurs monthly and is summarized in leadership dashboards. Teams must log requests in Google Workspace and track outcomes in ERP System for audit readiness. The Compliance organization uses PostgreSQL to enforce consistent service baselines.</w:t>
      </w:r>
    </w:p>
    <w:p>
      <w:r>
        <w:t>Teams must log requests in Google Workspace and track outcomes in ERP System for audit readiness. All changes require peer review and validation in the ERP System before production promotion. Regional teams in APAC follow the same policy with localized legal review.</w:t>
      </w:r>
    </w:p>
    <w:p>
      <w:pPr>
        <w:pStyle w:val="ListBullet"/>
      </w:pPr>
      <w:r>
        <w:t>This document aligns with GDPR requirements and supports APAC data residency expectations.</w:t>
      </w:r>
    </w:p>
    <w:p>
      <w:pPr>
        <w:pStyle w:val="ListBullet"/>
      </w:pPr>
      <w:r>
        <w:t>Audit sampling occurs monthly and is summarized in leadership dashboards.</w:t>
      </w:r>
    </w:p>
    <w:p>
      <w:pPr>
        <w:pStyle w:val="ListBullet"/>
      </w:pPr>
      <w:r>
        <w:t>Audit sampling occurs monthly and is summarized in leadership dashboards.</w:t>
      </w:r>
    </w:p>
    <w:p>
      <w:pPr>
        <w:pStyle w:val="Heading1"/>
      </w:pPr>
      <w:r>
        <w:t>Customer Follow-Up</w:t>
      </w:r>
    </w:p>
    <w:p>
      <w:r>
        <w:t>All changes require peer review and validation in the ERP System before production promotion. Evidence artifacts are retained in Google Workspace for at least 18 months. The process integrates with ERP System and depends on PostgreSQL for telemetry signals.</w:t>
      </w:r>
    </w:p>
    <w:p>
      <w:r>
        <w:t>This document aligns with GDPR requirements and supports APAC data residency expectations. Audit sampling occurs monthly and is summarized in leadership dashboards. The Compliance team coordinates with Platform Engineer to maintain operational readiness.</w:t>
      </w:r>
    </w:p>
    <w:p>
      <w:pPr>
        <w:pStyle w:val="ListBullet"/>
      </w:pPr>
      <w:r>
        <w:t>All incidents are tagged with severity and mapped to service tiers.</w:t>
      </w:r>
    </w:p>
    <w:p>
      <w:pPr>
        <w:pStyle w:val="ListBullet"/>
      </w:pPr>
      <w:r>
        <w:t>Escalations should follow the on-call rotation with a response target of 45 minutes.</w:t>
      </w:r>
    </w:p>
    <w:p>
      <w:pPr>
        <w:pStyle w:val="ListBullet"/>
      </w:pPr>
      <w:r>
        <w:t>We prioritize customer impact, data integrity, and regulatory alignment.</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