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Compliance EU v2.1</w:t>
      </w:r>
    </w:p>
    <w:p>
      <w:r>
        <w:t>Department: Compliance</w:t>
      </w:r>
    </w:p>
    <w:p>
      <w:r>
        <w:t>Author: Casey Lee</w:t>
      </w:r>
    </w:p>
    <w:p>
      <w:r>
        <w:t>Created date: 2025-11-30</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We prioritize customer impact, data integrity, and regulatory alignment. Teams must log requests in Zoom and track outcomes in CRM Platform for audit readiness. All incidents are tagged with severity and mapped to service tiers.</w:t>
      </w:r>
    </w:p>
    <w:p>
      <w:pPr>
        <w:pStyle w:val="ListBullet"/>
      </w:pPr>
      <w:r>
        <w:t>The Compliance team coordinates with Finance Analyst to maintain operational readiness.</w:t>
      </w:r>
    </w:p>
    <w:p>
      <w:pPr>
        <w:pStyle w:val="ListBullet"/>
      </w:pPr>
      <w:r>
        <w:t>Evidence artifacts are retained in Zoom for at least 18 months.</w:t>
      </w:r>
    </w:p>
    <w:p>
      <w:pPr>
        <w:pStyle w:val="ListBullet"/>
      </w:pPr>
      <w:r>
        <w:t>We prioritize customer impact, data integrity, and regulatory alignment.</w:t>
      </w:r>
    </w:p>
    <w:p>
      <w:pPr>
        <w:pStyle w:val="ListBullet"/>
      </w:pPr>
      <w:r>
        <w:t>This document aligns with HIPAA requirements and supports EU data residency expectations.</w:t>
      </w:r>
    </w:p>
    <w:p>
      <w:pPr>
        <w:pStyle w:val="Heading1"/>
      </w:pPr>
      <w:r>
        <w:t>Triage</w:t>
      </w:r>
    </w:p>
    <w:p>
      <w:r>
        <w:t>Escalations should follow the on-call rotation with a response target of 30 minutes. Escalations should follow the on-call rotation with a response target of 30 minutes. All incidents are tagged with severity and mapped to service tiers. Risk acceptance must be documented and revalidated each quarter.</w:t>
      </w:r>
    </w:p>
    <w:p>
      <w:r>
        <w:t>Stakeholders include the Finance Analyst, service owner, and compliance lead for approvals. Systems are monitored via Azure AD and alert routing in Zoom. Audit sampling occurs monthly and is summarized in leadership dashboards. Escalations should follow the on-call rotation with a response target of 30 minutes.</w:t>
      </w:r>
    </w:p>
    <w:p>
      <w:pPr>
        <w:pStyle w:val="ListBullet"/>
      </w:pPr>
      <w:r>
        <w:t>Regional teams in EU follow the same policy with localized legal review.</w:t>
      </w:r>
    </w:p>
    <w:p>
      <w:pPr>
        <w:pStyle w:val="ListBullet"/>
      </w:pPr>
      <w:r>
        <w:t>Teams must log requests in Zoom and track outcomes in CRM Platform for audit readiness.</w:t>
      </w:r>
    </w:p>
    <w:p>
      <w:pPr>
        <w:pStyle w:val="ListBullet"/>
      </w:pPr>
      <w:r>
        <w:t>The Compliance team coordinates with Finance Analyst to maintain operational readiness.</w:t>
      </w:r>
    </w:p>
    <w:p>
      <w:pPr>
        <w:pStyle w:val="ListBullet"/>
      </w:pPr>
      <w:r>
        <w:t>Audit sampling occurs monthly and is summarized in leadership dashboards.</w:t>
      </w:r>
    </w:p>
    <w:p>
      <w:pPr>
        <w:pStyle w:val="ListBullet"/>
      </w:pPr>
      <w:r>
        <w:t>The Compliance organization uses Azure AD to enforce consistent service baselines.</w:t>
      </w:r>
    </w:p>
    <w:p>
      <w:pPr>
        <w:pStyle w:val="ListBullet"/>
      </w:pPr>
      <w:r>
        <w:t>Evidence artifacts are retained in Zoom for at least 18 months.</w:t>
      </w:r>
    </w:p>
    <w:p>
      <w:pPr>
        <w:pStyle w:val="Heading1"/>
      </w:pPr>
      <w:r>
        <w:t>Resolution</w:t>
      </w:r>
    </w:p>
    <w:p>
      <w:r>
        <w:t>All incidents are tagged with severity and mapped to service tiers. All changes require peer review and validation in the CRM Platform before production promotion.</w:t>
      </w:r>
    </w:p>
    <w:p>
      <w:pPr>
        <w:pStyle w:val="ListBullet"/>
      </w:pPr>
      <w:r>
        <w:t>Risk acceptance must be documented and revalidated each quarter.</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Evidence artifacts are retained in Zoom for at least 18 months.</w:t>
      </w:r>
    </w:p>
    <w:p>
      <w:pPr>
        <w:pStyle w:val="ListBullet"/>
      </w:pPr>
      <w:r>
        <w:t>All incidents are tagged with severity and mapped to service tiers.</w:t>
      </w:r>
    </w:p>
    <w:p>
      <w:pPr>
        <w:pStyle w:val="ListBullet"/>
      </w:pPr>
      <w:r>
        <w:t>Stakeholders include the Finance Analyst,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Finance Analyst</w:t>
            </w:r>
          </w:p>
        </w:tc>
        <w:tc>
          <w:tcPr>
            <w:tcW w:type="dxa" w:w="2880"/>
          </w:tcPr>
          <w:p>
            <w:r>
              <w:t>Planned</w:t>
            </w:r>
          </w:p>
        </w:tc>
      </w:tr>
      <w:tr>
        <w:tc>
          <w:tcPr>
            <w:tcW w:type="dxa" w:w="2880"/>
          </w:tcPr>
          <w:p>
            <w:r>
              <w:t>Access review</w:t>
            </w:r>
          </w:p>
        </w:tc>
        <w:tc>
          <w:tcPr>
            <w:tcW w:type="dxa" w:w="2880"/>
          </w:tcPr>
          <w:p>
            <w:r>
              <w:t>Operations</w:t>
            </w:r>
          </w:p>
        </w:tc>
        <w:tc>
          <w:tcPr>
            <w:tcW w:type="dxa" w:w="2880"/>
          </w:tcPr>
          <w:p>
            <w:r>
              <w:t>Planned</w:t>
            </w:r>
          </w:p>
        </w:tc>
      </w:tr>
    </w:tbl>
    <w:p>
      <w:pPr>
        <w:pStyle w:val="Heading1"/>
      </w:pPr>
      <w:r>
        <w:t>Escalation</w:t>
      </w:r>
    </w:p>
    <w:p>
      <w:r>
        <w:t>The process integrates with CRM Platform and depends on Azure AD for telemetry signals. Escalations should follow the on-call rotation with a response target of 30 minutes.</w:t>
      </w:r>
    </w:p>
    <w:p>
      <w:pPr>
        <w:pStyle w:val="ListBullet"/>
      </w:pPr>
      <w:r>
        <w:t>The Compliance organization uses Azure AD to enforce consistent service baselines.</w:t>
      </w:r>
    </w:p>
    <w:p>
      <w:pPr>
        <w:pStyle w:val="ListBullet"/>
      </w:pPr>
      <w:r>
        <w:t>This document aligns with HIPAA requirements and supports EU data residency expectations.</w:t>
      </w:r>
    </w:p>
    <w:p>
      <w:pPr>
        <w:pStyle w:val="ListBullet"/>
      </w:pPr>
      <w:r>
        <w:t>We prioritize customer impact, data integrity, and regulatory alignment.</w:t>
      </w:r>
    </w:p>
    <w:p>
      <w:pPr>
        <w:pStyle w:val="ListBullet"/>
      </w:pPr>
      <w:r>
        <w:t>Risk acceptance must be documented and revalidated each quarter.</w:t>
      </w:r>
    </w:p>
    <w:p>
      <w:pPr>
        <w:pStyle w:val="Heading1"/>
      </w:pPr>
      <w:r>
        <w:t>Customer Follow-Up</w:t>
      </w:r>
    </w:p>
    <w:p>
      <w:r>
        <w:t>The Compliance team coordinates with Finance Analyst to maintain operational readiness. Teams must log requests in Zoom and track outcomes in CRM Platform for audit readiness.</w:t>
      </w:r>
    </w:p>
    <w:p>
      <w:r>
        <w:t>The process integrates with CRM Platform and depends on Azure AD for telemetry signals. The Compliance organization uses Azure AD to enforce consistent service baselines.</w:t>
      </w:r>
    </w:p>
    <w:p>
      <w:pPr>
        <w:pStyle w:val="ListBullet"/>
      </w:pPr>
      <w:r>
        <w:t>Evidence artifacts are retained in Zoom for at least 18 months.</w:t>
      </w:r>
    </w:p>
    <w:p>
      <w:pPr>
        <w:pStyle w:val="ListBullet"/>
      </w:pPr>
      <w:r>
        <w:t>Teams must log requests in Zoom and track outcomes in CRM Platform for audit readiness.</w:t>
      </w:r>
    </w:p>
    <w:p>
      <w:pPr>
        <w:pStyle w:val="ListBullet"/>
      </w:pPr>
      <w:r>
        <w:t>The process integrates with CRM Platform and depends on Azure AD for telemetry signals.</w:t>
      </w:r>
    </w:p>
    <w:p>
      <w:pPr>
        <w:pStyle w:val="ListBullet"/>
      </w:pPr>
      <w:r>
        <w:t>The Compliance organization uses Azure AD to enforce consistent service baselines.</w:t>
      </w:r>
    </w:p>
    <w:p>
      <w:pPr>
        <w:pStyle w:val="ListBullet"/>
      </w:pPr>
      <w:r>
        <w:t>The Compliance team coordinates with Finance Analyst to maintain operational readiness.</w:t>
      </w:r>
    </w:p>
    <w:p>
      <w:pPr>
        <w:pStyle w:val="ListBullet"/>
      </w:pPr>
      <w:r>
        <w:t>Evidence artifacts are retained in Zoom for at least 18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