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Compliance EU v1.1</w:t>
      </w:r>
    </w:p>
    <w:p>
      <w:r>
        <w:t>Department: Compliance</w:t>
      </w:r>
    </w:p>
    <w:p>
      <w:r>
        <w:t>Author: Riley Nguyen</w:t>
      </w:r>
    </w:p>
    <w:p>
      <w:r>
        <w:t>Created date: 2025-08-19</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This document aligns with SOX requirements and supports EU data residency expectations. We prioritize customer impact, data integrity, and regulatory alignment.</w:t>
      </w:r>
    </w:p>
    <w:p>
      <w:r>
        <w:t>We prioritize customer impact, data integrity, and regulatory alignment. All changes require peer review and validation in the Endpoint Management before production promotion. The Compliance organization uses Snowflake to enforce consistent service baselines.</w:t>
      </w:r>
    </w:p>
    <w:p>
      <w:pPr>
        <w:pStyle w:val="ListBullet"/>
      </w:pPr>
      <w:r>
        <w:t>Systems are monitored via Snowflake and alert routing in GitHub Enterprise.</w:t>
      </w:r>
    </w:p>
    <w:p>
      <w:pPr>
        <w:pStyle w:val="ListBullet"/>
      </w:pPr>
      <w:r>
        <w:t>Teams must log requests in GitHub Enterprise and track outcomes in Endpoint Management for audit readiness.</w:t>
      </w:r>
    </w:p>
    <w:p>
      <w:pPr>
        <w:pStyle w:val="ListBullet"/>
      </w:pPr>
      <w:r>
        <w:t>The process integrates with Endpoint Management and depends on Snowflake for telemetry signals.</w:t>
      </w:r>
    </w:p>
    <w:p>
      <w:pPr>
        <w:pStyle w:val="Heading1"/>
      </w:pPr>
      <w:r>
        <w:t>Triage</w:t>
      </w:r>
    </w:p>
    <w:p>
      <w:r>
        <w:t>This document aligns with SOX requirements and supports EU data residency expectations. The Compliance team coordinates with SRE to maintain operational readiness. Stakeholders include the SRE, service owner, and compliance lead for approvals. Evidence artifacts are retained in GitHub Enterprise for at least 24 months.</w:t>
      </w:r>
    </w:p>
    <w:p>
      <w:r>
        <w:t>All incidents are tagged with severity and mapped to service tiers. Risk acceptance must be documented and revalidated each quarter.</w:t>
      </w:r>
    </w:p>
    <w:p>
      <w:pPr>
        <w:pStyle w:val="ListBullet"/>
      </w:pPr>
      <w:r>
        <w:t>All incidents are tagged with severity and mapped to service tiers.</w:t>
      </w:r>
    </w:p>
    <w:p>
      <w:pPr>
        <w:pStyle w:val="ListBullet"/>
      </w:pPr>
      <w:r>
        <w:t>Systems are monitored via Snowflake and alert routing in GitHub Enterprise.</w:t>
      </w:r>
    </w:p>
    <w:p>
      <w:pPr>
        <w:pStyle w:val="ListBullet"/>
      </w:pPr>
      <w:r>
        <w:t>All changes require peer review and validation in the Endpoint Management before production promotion.</w:t>
      </w:r>
    </w:p>
    <w:p>
      <w:pPr>
        <w:pStyle w:val="Heading1"/>
      </w:pPr>
      <w:r>
        <w:t>Resolution</w:t>
      </w:r>
    </w:p>
    <w:p>
      <w:r>
        <w:t>Regional teams in EU follow the same policy with localized legal review. We prioritize customer impact, data integrity, and regulatory alignment. Systems are monitored via Snowflake and alert routing in GitHub Enterprise. The Compliance organization uses Snowflake to enforce consistent service baselines.</w:t>
      </w:r>
    </w:p>
    <w:p>
      <w:r>
        <w:t>Systems are monitored via Snowflake and alert routing in GitHub Enterprise. The Compliance team coordinates with SRE to maintain operational readiness.</w:t>
      </w:r>
    </w:p>
    <w:p>
      <w:pPr>
        <w:pStyle w:val="ListBullet"/>
      </w:pPr>
      <w:r>
        <w:t>Teams must log requests in GitHub Enterprise and track outcomes in Endpoint Management for audit readiness.</w:t>
      </w:r>
    </w:p>
    <w:p>
      <w:pPr>
        <w:pStyle w:val="ListBullet"/>
      </w:pPr>
      <w:r>
        <w:t>All incidents are tagged with severity and mapped to service tiers.</w:t>
      </w:r>
    </w:p>
    <w:p>
      <w:pPr>
        <w:pStyle w:val="ListBullet"/>
      </w:pPr>
      <w:r>
        <w:t>Evidence artifacts are retained in GitHub Enterprise for at least 24 months.</w:t>
      </w:r>
    </w:p>
    <w:p>
      <w:pPr>
        <w:pStyle w:val="Heading1"/>
      </w:pPr>
      <w:r>
        <w:t>Escalation</w:t>
      </w:r>
    </w:p>
    <w:p>
      <w:r>
        <w:t>The Compliance team coordinates with SRE to maintain operational readiness. All changes require peer review and validation in the Endpoint Management before production promotion. Escalations should follow the on-call rotation with a response target of 30 minutes. All changes require peer review and validation in the Endpoint Management before production promotion.</w:t>
      </w:r>
    </w:p>
    <w:p>
      <w:r>
        <w:t>Audit sampling occurs monthly and is summarized in leadership dashboards. Systems are monitored via Snowflake and alert routing in GitHub Enterprise.</w:t>
      </w:r>
    </w:p>
    <w:p>
      <w:pPr>
        <w:pStyle w:val="ListBullet"/>
      </w:pPr>
      <w:r>
        <w:t>Risk acceptance must be documented and revalidated each quarter.</w:t>
      </w:r>
    </w:p>
    <w:p>
      <w:pPr>
        <w:pStyle w:val="ListBullet"/>
      </w:pPr>
      <w:r>
        <w:t>The Compliance organization uses Snowflake to enforce consistent service baselines.</w:t>
      </w:r>
    </w:p>
    <w:p>
      <w:pPr>
        <w:pStyle w:val="ListBullet"/>
      </w:pPr>
      <w:r>
        <w:t>The process integrates with Endpoint Management and depends on Snowflake for telemetry signals.</w:t>
      </w:r>
    </w:p>
    <w:p>
      <w:pPr>
        <w:pStyle w:val="ListBullet"/>
      </w:pPr>
      <w:r>
        <w:t>Systems are monitored via Snowflake and alert routing in GitHub Enterprise.</w:t>
      </w:r>
    </w:p>
    <w:p>
      <w:pPr>
        <w:pStyle w:val="ListBullet"/>
      </w:pPr>
      <w:r>
        <w:t>Teams must log requests in GitHub Enterprise and track outcomes in Endpoint Management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Compliance</w:t>
            </w:r>
          </w:p>
        </w:tc>
        <w:tc>
          <w:tcPr>
            <w:tcW w:type="dxa" w:w="2880"/>
          </w:tcPr>
          <w:p>
            <w:r>
              <w:t>Blocked</w:t>
            </w:r>
          </w:p>
        </w:tc>
      </w:tr>
      <w:tr>
        <w:tc>
          <w:tcPr>
            <w:tcW w:type="dxa" w:w="2880"/>
          </w:tcPr>
          <w:p>
            <w:r>
              <w:t>Patch window</w:t>
            </w:r>
          </w:p>
        </w:tc>
        <w:tc>
          <w:tcPr>
            <w:tcW w:type="dxa" w:w="2880"/>
          </w:tcPr>
          <w:p>
            <w:r>
              <w:t>Operations</w:t>
            </w:r>
          </w:p>
        </w:tc>
        <w:tc>
          <w:tcPr>
            <w:tcW w:type="dxa" w:w="2880"/>
          </w:tcPr>
          <w:p>
            <w:r>
              <w:t>Planned</w:t>
            </w:r>
          </w:p>
        </w:tc>
      </w:tr>
    </w:tbl>
    <w:p>
      <w:pPr>
        <w:pStyle w:val="Heading1"/>
      </w:pPr>
      <w:r>
        <w:t>Customer Follow-Up</w:t>
      </w:r>
    </w:p>
    <w:p>
      <w:r>
        <w:t>This document aligns with SOX requirements and supports EU data residency expectations. The Compliance organization uses Snowflake to enforce consistent service baselines.</w:t>
      </w:r>
    </w:p>
    <w:p>
      <w:r>
        <w:t>The Compliance team coordinates with SRE to maintain operational readiness. Risk acceptance must be documented and revalidated each quarter.</w:t>
      </w:r>
    </w:p>
    <w:p>
      <w:pPr>
        <w:pStyle w:val="ListBullet"/>
      </w:pPr>
      <w:r>
        <w:t>Risk acceptance must be documented and revalidated each quarter.</w:t>
      </w:r>
    </w:p>
    <w:p>
      <w:pPr>
        <w:pStyle w:val="ListBullet"/>
      </w:pPr>
      <w:r>
        <w:t>All incidents are tagged with severity and mapped to service tiers.</w:t>
      </w:r>
    </w:p>
    <w:p>
      <w:pPr>
        <w:pStyle w:val="ListBullet"/>
      </w:pPr>
      <w:r>
        <w:t>Systems are monitored via Snowflake and alert routing in GitHub Enterprise.</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Compliance</w:t>
            </w:r>
          </w:p>
        </w:tc>
        <w:tc>
          <w:tcPr>
            <w:tcW w:type="dxa" w:w="2880"/>
          </w:tcPr>
          <w:p>
            <w:r>
              <w:t>In Progress</w:t>
            </w:r>
          </w:p>
        </w:tc>
      </w:tr>
      <w:tr>
        <w:tc>
          <w:tcPr>
            <w:tcW w:type="dxa" w:w="2880"/>
          </w:tcPr>
          <w:p>
            <w:r>
              <w:t>Patch window</w:t>
            </w:r>
          </w:p>
        </w:tc>
        <w:tc>
          <w:tcPr>
            <w:tcW w:type="dxa" w:w="2880"/>
          </w:tcPr>
          <w:p>
            <w:r>
              <w:t>Compliance</w:t>
            </w:r>
          </w:p>
        </w:tc>
        <w:tc>
          <w:tcPr>
            <w:tcW w:type="dxa" w:w="2880"/>
          </w:tcPr>
          <w:p>
            <w:r>
              <w:t>Complete</w:t>
            </w:r>
          </w:p>
        </w:tc>
      </w:tr>
      <w:tr>
        <w:tc>
          <w:tcPr>
            <w:tcW w:type="dxa" w:w="2880"/>
          </w:tcPr>
          <w:p>
            <w:r>
              <w:t>Backup validation</w:t>
            </w:r>
          </w:p>
        </w:tc>
        <w:tc>
          <w:tcPr>
            <w:tcW w:type="dxa" w:w="2880"/>
          </w:tcPr>
          <w:p>
            <w:r>
              <w:t>SRE</w:t>
            </w:r>
          </w:p>
        </w:tc>
        <w:tc>
          <w:tcPr>
            <w:tcW w:type="dxa" w:w="2880"/>
          </w:tcPr>
          <w:p>
            <w:r>
              <w:t>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