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Compliance EU v2.1</w:t>
      </w:r>
    </w:p>
    <w:p>
      <w:r>
        <w:t>Department: Compliance</w:t>
      </w:r>
    </w:p>
    <w:p>
      <w:r>
        <w:t>Author: Avery Brown</w:t>
      </w:r>
    </w:p>
    <w:p>
      <w:r>
        <w:t>Created date: 2024-09-21</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All incidents are tagged with severity and mapped to service tiers. Evidence artifacts are retained in Confluence for at least 18 months. Regional teams in EU follow the same policy with localized legal review. This document aligns with GDPR requirements and supports EU data residency expectations.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Risk acceptance must be documented and revalidated each quarter.</w:t>
      </w:r>
    </w:p>
    <w:p>
      <w:pPr>
        <w:pStyle w:val="Heading1"/>
      </w:pPr>
      <w:r>
        <w:t>Triage</w:t>
      </w:r>
    </w:p>
    <w:p>
      <w:r>
        <w:t>Evidence artifacts are retained in Confluence for at least 18 months. Escalations should follow the on-call rotation with a response target of 15 minutes.</w:t>
      </w:r>
    </w:p>
    <w:p>
      <w:r>
        <w:t>Evidence artifacts are retained in Confluence for at least 18 months. We prioritize customer impact, data integrity, and regulatory alignment.</w:t>
      </w:r>
    </w:p>
    <w:p>
      <w:pPr>
        <w:pStyle w:val="ListBullet"/>
      </w:pPr>
      <w:r>
        <w:t>The Compliance organization uses Redis to enforce consistent service baselines.</w:t>
      </w:r>
    </w:p>
    <w:p>
      <w:pPr>
        <w:pStyle w:val="ListBullet"/>
      </w:pPr>
      <w:r>
        <w:t>The process integrates with Endpoint Management and depends on Redis for telemetry signals.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Evidence artifacts are retained in Confluence for at least 18 months.</w:t>
      </w:r>
    </w:p>
    <w:p>
      <w:pPr>
        <w:pStyle w:val="ListBullet"/>
      </w:pPr>
      <w:r>
        <w:t>Systems are monitored via Redis and alert routing in Confluence.</w:t>
      </w:r>
    </w:p>
    <w:p>
      <w:pPr>
        <w:pStyle w:val="Heading1"/>
      </w:pPr>
      <w:r>
        <w:t>Resolution</w:t>
      </w:r>
    </w:p>
    <w:p>
      <w:r>
        <w:t>Audit sampling occurs monthly and is summarized in leadership dashboards. Evidence artifacts are retained in Confluence for at least 18 months. Audit sampling occurs monthly and is summarized in leadership dashboards. The Compliance team coordinates with Support Specialist to maintain operational readiness.</w:t>
      </w:r>
    </w:p>
    <w:p>
      <w:r>
        <w:t>The process integrates with Endpoint Management and depends on Redis for telemetry signals. Escalations should follow the on-call rotation with a response target of 15 minutes.</w:t>
      </w:r>
    </w:p>
    <w:p>
      <w:pPr>
        <w:pStyle w:val="ListBullet"/>
      </w:pPr>
      <w:r>
        <w:t>Regional teams in EU follow the same policy with localized legal review.</w:t>
      </w:r>
    </w:p>
    <w:p>
      <w:pPr>
        <w:pStyle w:val="ListBullet"/>
      </w:pPr>
      <w:r>
        <w:t>Teams must log requests in Confluence and track outcomes in Endpoint Management for audit readiness.</w:t>
      </w:r>
    </w:p>
    <w:p>
      <w:pPr>
        <w:pStyle w:val="ListBullet"/>
      </w:pPr>
      <w:r>
        <w:t>All changes require peer review and validation in the Endpoint Management before production promotion.</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All changes require peer review and validation in the Endpoint Management before production promotion.</w:t>
      </w:r>
    </w:p>
    <w:p>
      <w:pPr>
        <w:pStyle w:val="Heading1"/>
      </w:pPr>
      <w:r>
        <w:t>Escalation</w:t>
      </w:r>
    </w:p>
    <w:p>
      <w:r>
        <w:t>The Compliance team coordinates with Support Specialist to maintain operational readiness. All incidents are tagged with severity and mapped to service tiers. Systems are monitored via Redis and alert routing in Confluence. Escalations should follow the on-call rotation with a response target of 15 minutes.</w:t>
      </w:r>
    </w:p>
    <w:p>
      <w:pPr>
        <w:pStyle w:val="ListBullet"/>
      </w:pPr>
      <w:r>
        <w:t>Evidence artifacts are retained in Confluence for at least 18 months.</w:t>
      </w:r>
    </w:p>
    <w:p>
      <w:pPr>
        <w:pStyle w:val="ListBullet"/>
      </w:pPr>
      <w:r>
        <w:t>Teams must log requests in Confluence and track outcomes in Endpoint Management for audit readiness.</w:t>
      </w:r>
    </w:p>
    <w:p>
      <w:pPr>
        <w:pStyle w:val="ListBullet"/>
      </w:pPr>
      <w:r>
        <w:t>Escalations should follow the on-call rotation with a response target of 15 minutes.</w:t>
      </w:r>
    </w:p>
    <w:p>
      <w:pPr>
        <w:pStyle w:val="ListBullet"/>
      </w:pPr>
      <w:r>
        <w:t>Escalations should follow the on-call rotation with a response target of 15 minutes.</w:t>
      </w:r>
    </w:p>
    <w:p>
      <w:pPr>
        <w:pStyle w:val="ListBullet"/>
      </w:pPr>
      <w:r>
        <w:t>Escalations should follow the on-call rotation with a response target of 15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In Progress</w:t>
            </w:r>
          </w:p>
        </w:tc>
      </w:tr>
      <w:tr>
        <w:tc>
          <w:tcPr>
            <w:tcW w:type="dxa" w:w="2880"/>
          </w:tcPr>
          <w:p>
            <w:r>
              <w:t>Incident drill</w:t>
            </w:r>
          </w:p>
        </w:tc>
        <w:tc>
          <w:tcPr>
            <w:tcW w:type="dxa" w:w="2880"/>
          </w:tcPr>
          <w:p>
            <w:r>
              <w:t>Security</w:t>
            </w:r>
          </w:p>
        </w:tc>
        <w:tc>
          <w:tcPr>
            <w:tcW w:type="dxa" w:w="2880"/>
          </w:tcPr>
          <w:p>
            <w:r>
              <w:t>Blocked</w:t>
            </w:r>
          </w:p>
        </w:tc>
      </w:tr>
      <w:tr>
        <w:tc>
          <w:tcPr>
            <w:tcW w:type="dxa" w:w="2880"/>
          </w:tcPr>
          <w:p>
            <w:r>
              <w:t>Incident drill</w:t>
            </w:r>
          </w:p>
        </w:tc>
        <w:tc>
          <w:tcPr>
            <w:tcW w:type="dxa" w:w="2880"/>
          </w:tcPr>
          <w:p>
            <w:r>
              <w:t>Compliance</w:t>
            </w:r>
          </w:p>
        </w:tc>
        <w:tc>
          <w:tcPr>
            <w:tcW w:type="dxa" w:w="2880"/>
          </w:tcPr>
          <w:p>
            <w:r>
              <w:t>Complete</w:t>
            </w:r>
          </w:p>
        </w:tc>
      </w:tr>
    </w:tbl>
    <w:p>
      <w:pPr>
        <w:pStyle w:val="Heading1"/>
      </w:pPr>
      <w:r>
        <w:t>Customer Follow-Up</w:t>
      </w:r>
    </w:p>
    <w:p>
      <w:r>
        <w:t>Escalations should follow the on-call rotation with a response target of 15 minutes. All incidents are tagged with severity and mapped to service tiers. Audit sampling occurs monthly and is summarized in leadership dashboards. The Compliance team coordinates with Support Specialist to maintain operational readiness.</w:t>
      </w:r>
    </w:p>
    <w:p>
      <w:r>
        <w:t>We prioritize customer impact, data integrity, and regulatory alignment. Audit sampling occurs monthly and is summarized in leadership dashboards.</w:t>
      </w:r>
    </w:p>
    <w:p>
      <w:pPr>
        <w:pStyle w:val="ListBullet"/>
      </w:pPr>
      <w:r>
        <w:t>Teams must log requests in Confluence and track outcomes in Endpoint Management for audit readiness.</w:t>
      </w:r>
    </w:p>
    <w:p>
      <w:pPr>
        <w:pStyle w:val="ListBullet"/>
      </w:pPr>
      <w:r>
        <w:t>Teams must log requests in Confluence and track outcomes in Endpoint Management for audit readiness.</w:t>
      </w:r>
    </w:p>
    <w:p>
      <w:pPr>
        <w:pStyle w:val="ListBullet"/>
      </w:pPr>
      <w:r>
        <w:t>The Compliance organization uses Redis to enforce consistent service baselines.</w:t>
      </w:r>
    </w:p>
    <w:p>
      <w:pPr>
        <w:pStyle w:val="ListBullet"/>
      </w:pPr>
      <w:r>
        <w:t>All changes require peer review and validation in the Endpoint Management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