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Customer Support Procedures - Compliance EU v1.1</w:t>
      </w:r>
    </w:p>
    <w:p>
      <w:r>
        <w:t>Department: Compliance</w:t>
      </w:r>
    </w:p>
    <w:p>
      <w:r>
        <w:t>Author: Riley Smith</w:t>
      </w:r>
    </w:p>
    <w:p>
      <w:r>
        <w:t>Created date: 2024-04-24</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Intake</w:t>
      </w:r>
    </w:p>
    <w:p>
      <w:r>
        <w:t>Evidence artifacts are retained in Microsoft 365 for at least 18 months. Teams must log requests in Microsoft 365 and track outcomes in CRM Platform for audit readiness.</w:t>
      </w:r>
    </w:p>
    <w:p>
      <w:r>
        <w:t>Stakeholders include the Security Analyst, service owner, and compliance lead for approvals. Escalations should follow the on-call rotation with a response target of 15 minutes.</w:t>
      </w:r>
    </w:p>
    <w:p>
      <w:pPr>
        <w:pStyle w:val="ListBullet"/>
      </w:pPr>
      <w:r>
        <w:t>Systems are monitored via Okta and alert routing in Microsoft 365.</w:t>
      </w:r>
    </w:p>
    <w:p>
      <w:pPr>
        <w:pStyle w:val="ListBullet"/>
      </w:pPr>
      <w:r>
        <w:t>The Compliance team coordinates with Security Analyst to maintain operational readiness.</w:t>
      </w:r>
    </w:p>
    <w:p>
      <w:pPr>
        <w:pStyle w:val="ListBullet"/>
      </w:pPr>
      <w:r>
        <w:t>Evidence artifacts are retained in Microsoft 365 for at least 18 months.</w:t>
      </w:r>
    </w:p>
    <w:p>
      <w:pPr>
        <w:pStyle w:val="Heading1"/>
      </w:pPr>
      <w:r>
        <w:t>Triage</w:t>
      </w:r>
    </w:p>
    <w:p>
      <w:r>
        <w:t>Escalations should follow the on-call rotation with a response target of 15 minutes. Escalations should follow the on-call rotation with a response target of 15 minutes. All changes require peer review and validation in the CRM Platform before production promotion.</w:t>
      </w:r>
    </w:p>
    <w:p>
      <w:r>
        <w:t>Stakeholders include the Security Analyst, service owner, and compliance lead for approvals. All incidents are tagged with severity and mapped to service tiers. All changes require peer review and validation in the CRM Platform before production promotion. Systems are monitored via Okta and alert routing in Microsoft 365.</w:t>
      </w:r>
    </w:p>
    <w:p>
      <w:pPr>
        <w:pStyle w:val="ListBullet"/>
      </w:pPr>
      <w:r>
        <w:t>Teams must log requests in Microsoft 365 and track outcomes in CRM Platform for audit readiness.</w:t>
      </w:r>
    </w:p>
    <w:p>
      <w:pPr>
        <w:pStyle w:val="ListBullet"/>
      </w:pPr>
      <w:r>
        <w:t>Regional teams in EU follow the same policy with localized legal review.</w:t>
      </w:r>
    </w:p>
    <w:p>
      <w:pPr>
        <w:pStyle w:val="ListBullet"/>
      </w:pPr>
      <w:r>
        <w:t>Teams must log requests in Microsoft 365 and track outcomes in CRM Platform for audit readiness.</w:t>
      </w:r>
    </w:p>
    <w:p>
      <w:pPr>
        <w:pStyle w:val="ListBullet"/>
      </w:pPr>
      <w:r>
        <w:t>This document aligns with SOC 2 requirements and supports EU data residency expectations.</w:t>
      </w:r>
    </w:p>
    <w:p>
      <w:pPr>
        <w:pStyle w:val="ListBullet"/>
      </w:pPr>
      <w:r>
        <w:t>Risk acceptance must be documented and revalidated each quarter.</w:t>
      </w:r>
    </w:p>
    <w:p>
      <w:pPr>
        <w:pStyle w:val="Heading1"/>
      </w:pPr>
      <w:r>
        <w:t>Resolution</w:t>
      </w:r>
    </w:p>
    <w:p>
      <w:r>
        <w:t>We prioritize customer impact, data integrity, and regulatory alignment. Stakeholders include the Security Analyst, service owner, and compliance lead for approvals. This document aligns with SOC 2 requirements and supports EU data residency expectations. Systems are monitored via Okta and alert routing in Microsoft 365.</w:t>
      </w:r>
    </w:p>
    <w:p>
      <w:pPr>
        <w:pStyle w:val="ListBullet"/>
      </w:pPr>
      <w:r>
        <w:t>Audit sampling occurs monthly and is summarized in leadership dashboards.</w:t>
      </w:r>
    </w:p>
    <w:p>
      <w:pPr>
        <w:pStyle w:val="ListBullet"/>
      </w:pPr>
      <w:r>
        <w:t>The process integrates with CRM Platform and depends on Okta for telemetry signals.</w:t>
      </w:r>
    </w:p>
    <w:p>
      <w:pPr>
        <w:pStyle w:val="ListBullet"/>
      </w:pPr>
      <w:r>
        <w:t>Evidence artifacts are retained in Microsoft 365 for at least 18 months.</w:t>
      </w:r>
    </w:p>
    <w:p>
      <w:pPr>
        <w:pStyle w:val="ListBullet"/>
      </w:pPr>
      <w:r>
        <w:t>Systems are monitored via Okta and alert routing in Microsoft 365.</w:t>
      </w:r>
    </w:p>
    <w:p>
      <w:pPr>
        <w:pStyle w:val="ListBullet"/>
      </w:pPr>
      <w:r>
        <w:t>Escalations should follow the on-call rotation with a response target of 15 minutes.</w:t>
      </w:r>
    </w:p>
    <w:p>
      <w:pPr>
        <w:pStyle w:val="Heading1"/>
      </w:pPr>
      <w:r>
        <w:t>Escalation</w:t>
      </w:r>
    </w:p>
    <w:p>
      <w:r>
        <w:t>Stakeholders include the Security Analyst, service owner, and compliance lead for approvals. The Compliance organization uses Okta to enforce consistent service baselines. Escalations should follow the on-call rotation with a response target of 15 minutes.</w:t>
      </w:r>
    </w:p>
    <w:p>
      <w:r>
        <w:t>All changes require peer review and validation in the CRM Platform before production promotion. We prioritize customer impact, data integrity, and regulatory alignment.</w:t>
      </w:r>
    </w:p>
    <w:p>
      <w:pPr>
        <w:pStyle w:val="ListBullet"/>
      </w:pPr>
      <w:r>
        <w:t>Stakeholders include the Security Analyst, service owner, and compliance lead for approvals.</w:t>
      </w:r>
    </w:p>
    <w:p>
      <w:pPr>
        <w:pStyle w:val="ListBullet"/>
      </w:pPr>
      <w:r>
        <w:t>All changes require peer review and validation in the CRM Platform before production promotion.</w:t>
      </w:r>
    </w:p>
    <w:p>
      <w:pPr>
        <w:pStyle w:val="ListBullet"/>
      </w:pPr>
      <w:r>
        <w:t>This document aligns with SOC 2 requirements and supports EU data residency expectations.</w:t>
      </w:r>
    </w:p>
    <w:p>
      <w:pPr>
        <w:pStyle w:val="ListBullet"/>
      </w:pPr>
      <w:r>
        <w:t>Regional teams in EU follow the same policy with localized legal review.</w:t>
      </w:r>
    </w:p>
    <w:p>
      <w:pPr>
        <w:pStyle w:val="ListBullet"/>
      </w:pPr>
      <w:r>
        <w:t>The process integrates with CRM Platform and depends on Okta for telemetry signals.</w:t>
      </w:r>
    </w:p>
    <w:p>
      <w:pPr>
        <w:pStyle w:val="ListBullet"/>
      </w:pPr>
      <w:r>
        <w:t>This document aligns with SOC 2 requirements and supports EU data residency expectations.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Security Analyst</w:t>
            </w:r>
          </w:p>
        </w:tc>
        <w:tc>
          <w:tcPr>
            <w:tcW w:type="dxa" w:w="2880"/>
          </w:tcPr>
          <w:p>
            <w:r>
              <w:t>Complete</w:t>
            </w:r>
          </w:p>
        </w:tc>
      </w:tr>
      <w:tr>
        <w:tc>
          <w:tcPr>
            <w:tcW w:type="dxa" w:w="2880"/>
          </w:tcPr>
          <w:p>
            <w:r>
              <w:t>Incident drill</w:t>
            </w:r>
          </w:p>
        </w:tc>
        <w:tc>
          <w:tcPr>
            <w:tcW w:type="dxa" w:w="2880"/>
          </w:tcPr>
          <w:p>
            <w:r>
              <w:t>Security Analyst</w:t>
            </w:r>
          </w:p>
        </w:tc>
        <w:tc>
          <w:tcPr>
            <w:tcW w:type="dxa" w:w="2880"/>
          </w:tcPr>
          <w:p>
            <w:r>
              <w:t>Blocked</w:t>
            </w:r>
          </w:p>
        </w:tc>
      </w:tr>
      <w:tr>
        <w:tc>
          <w:tcPr>
            <w:tcW w:type="dxa" w:w="2880"/>
          </w:tcPr>
          <w:p>
            <w:r>
              <w:t>Access review</w:t>
            </w:r>
          </w:p>
        </w:tc>
        <w:tc>
          <w:tcPr>
            <w:tcW w:type="dxa" w:w="2880"/>
          </w:tcPr>
          <w:p>
            <w:r>
              <w:t>Security Analyst</w:t>
            </w:r>
          </w:p>
        </w:tc>
        <w:tc>
          <w:tcPr>
            <w:tcW w:type="dxa" w:w="2880"/>
          </w:tcPr>
          <w:p>
            <w:r>
              <w:t>In Progress</w:t>
            </w:r>
          </w:p>
        </w:tc>
      </w:tr>
    </w:tbl>
    <w:p>
      <w:pPr>
        <w:pStyle w:val="Heading1"/>
      </w:pPr>
      <w:r>
        <w:t>Customer Follow-Up</w:t>
      </w:r>
    </w:p>
    <w:p>
      <w:r>
        <w:t>Audit sampling occurs monthly and is summarized in leadership dashboards. Stakeholders include the Security Analyst, service owner, and compliance lead for approvals. Escalations should follow the on-call rotation with a response target of 15 minutes. Escalations should follow the on-call rotation with a response target of 15 minutes.</w:t>
      </w:r>
    </w:p>
    <w:p>
      <w:pPr>
        <w:pStyle w:val="ListBullet"/>
      </w:pPr>
      <w:r>
        <w:t>Risk acceptance must be documented and revalidated each quarter.</w:t>
      </w:r>
    </w:p>
    <w:p>
      <w:pPr>
        <w:pStyle w:val="ListBullet"/>
      </w:pPr>
      <w:r>
        <w:t>The process integrates with CRM Platform and depends on Okta for telemetry signals.</w:t>
      </w:r>
    </w:p>
    <w:p>
      <w:pPr>
        <w:pStyle w:val="ListBullet"/>
      </w:pPr>
      <w:r>
        <w:t>Escalations should follow the on-call rotation with a response target of 15 minutes.</w:t>
      </w:r>
    </w:p>
    <w:p>
      <w:pPr>
        <w:pStyle w:val="ListBullet"/>
      </w:pPr>
      <w:r>
        <w:t>The process integrates with CRM Platform and depends on Okta for telemetry signals.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Compliance</w:t>
            </w:r>
          </w:p>
        </w:tc>
        <w:tc>
          <w:tcPr>
            <w:tcW w:type="dxa" w:w="2880"/>
          </w:tcPr>
          <w:p>
            <w:r>
              <w:t>Blocked</w:t>
            </w:r>
          </w:p>
        </w:tc>
      </w:tr>
      <w:tr>
        <w:tc>
          <w:tcPr>
            <w:tcW w:type="dxa" w:w="2880"/>
          </w:tcPr>
          <w:p>
            <w:r>
              <w:t>Vendor check</w:t>
            </w:r>
          </w:p>
        </w:tc>
        <w:tc>
          <w:tcPr>
            <w:tcW w:type="dxa" w:w="2880"/>
          </w:tcPr>
          <w:p>
            <w:r>
              <w:t>Operations</w:t>
            </w:r>
          </w:p>
        </w:tc>
        <w:tc>
          <w:tcPr>
            <w:tcW w:type="dxa" w:w="2880"/>
          </w:tcPr>
          <w:p>
            <w:r>
              <w:t>Blocked</w:t>
            </w:r>
          </w:p>
        </w:tc>
      </w:tr>
      <w:tr>
        <w:tc>
          <w:tcPr>
            <w:tcW w:type="dxa" w:w="2880"/>
          </w:tcPr>
          <w:p>
            <w:r>
              <w:t>Access review</w:t>
            </w:r>
          </w:p>
        </w:tc>
        <w:tc>
          <w:tcPr>
            <w:tcW w:type="dxa" w:w="2880"/>
          </w:tcPr>
          <w:p>
            <w:r>
              <w:t>Operations</w:t>
            </w:r>
          </w:p>
        </w:tc>
        <w:tc>
          <w:tcPr>
            <w:tcW w:type="dxa" w:w="2880"/>
          </w:tcPr>
          <w:p>
            <w:r>
              <w:t>In Progress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