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Data Platform APAC v2.0</w:t>
      </w:r>
    </w:p>
    <w:p>
      <w:r>
        <w:t>Department: Data Platform</w:t>
      </w:r>
    </w:p>
    <w:p>
      <w:r>
        <w:t>Author: Morgan Patel</w:t>
      </w:r>
    </w:p>
    <w:p>
      <w:r>
        <w:t>Created date: 2026-03-22</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Teams must log requests in Jira and track outcomes in ERP System for audit readiness. We prioritize customer impact, data integrity, and regulatory alignment.</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Escalations should follow the on-call rotation with a response target of 15 minutes.</w:t>
      </w:r>
    </w:p>
    <w:p>
      <w:pPr>
        <w:pStyle w:val="ListBullet"/>
      </w:pPr>
      <w:r>
        <w:t>The Data Platform team coordinates with Support Specialist to maintain operational readiness.</w:t>
      </w:r>
    </w:p>
    <w:p>
      <w:pPr>
        <w:pStyle w:val="ListBullet"/>
      </w:pPr>
      <w:r>
        <w:t>Systems are monitored via ServiceNow and alert routing in Jira.</w:t>
      </w:r>
    </w:p>
    <w:p>
      <w:pPr>
        <w:pStyle w:val="ListBullet"/>
      </w:pPr>
      <w:r>
        <w:t>Stakeholders include the Support Specialist, service owner, and compliance lead for approvals.</w:t>
      </w:r>
    </w:p>
    <w:p>
      <w:pPr>
        <w:pStyle w:val="Heading1"/>
      </w:pPr>
      <w:r>
        <w:t>Triage</w:t>
      </w:r>
    </w:p>
    <w:p>
      <w:r>
        <w:t>This document aligns with SOC 2 requirements and supports APAC data residency expectations. Risk acceptance must be documented and revalidated each quarter. Escalations should follow the on-call rotation with a response target of 15 minutes.</w:t>
      </w:r>
    </w:p>
    <w:p>
      <w:pPr>
        <w:pStyle w:val="ListBullet"/>
      </w:pPr>
      <w:r>
        <w:t>The Data Platform team coordinates with Support Specialist to maintain operational readiness.</w:t>
      </w:r>
    </w:p>
    <w:p>
      <w:pPr>
        <w:pStyle w:val="ListBullet"/>
      </w:pPr>
      <w:r>
        <w:t>Escalations should follow the on-call rotation with a response target of 15 minutes.</w:t>
      </w:r>
    </w:p>
    <w:p>
      <w:pPr>
        <w:pStyle w:val="ListBullet"/>
      </w:pPr>
      <w:r>
        <w:t>Teams must log requests in Jira and track outcomes in ERP System for audit readiness.</w:t>
      </w:r>
    </w:p>
    <w:p>
      <w:pPr>
        <w:pStyle w:val="ListBullet"/>
      </w:pPr>
      <w:r>
        <w:t>Evidence artifacts are retained in Jira for at least 36 months.</w:t>
      </w:r>
    </w:p>
    <w:p>
      <w:pPr>
        <w:pStyle w:val="ListBullet"/>
      </w:pPr>
      <w:r>
        <w:t>The Data Platform team coordinates with Support Specialist to maintain operational readiness.</w:t>
      </w:r>
    </w:p>
    <w:p>
      <w:pPr>
        <w:pStyle w:val="ListBullet"/>
      </w:pPr>
      <w:r>
        <w:t>Stakeholders include the Support Specialist,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Access review</w:t>
            </w:r>
          </w:p>
        </w:tc>
        <w:tc>
          <w:tcPr>
            <w:tcW w:type="dxa" w:w="2880"/>
          </w:tcPr>
          <w:p>
            <w:r>
              <w:t>Operations</w:t>
            </w:r>
          </w:p>
        </w:tc>
        <w:tc>
          <w:tcPr>
            <w:tcW w:type="dxa" w:w="2880"/>
          </w:tcPr>
          <w:p>
            <w:r>
              <w:t>In Progress</w:t>
            </w:r>
          </w:p>
        </w:tc>
      </w:tr>
    </w:tbl>
    <w:p>
      <w:pPr>
        <w:pStyle w:val="Heading1"/>
      </w:pPr>
      <w:r>
        <w:t>Resolution</w:t>
      </w:r>
    </w:p>
    <w:p>
      <w:r>
        <w:t>Teams must log requests in Jira and track outcomes in ERP System for audit readiness. The process integrates with ERP System and depends on ServiceNow for telemetry signals. Audit sampling occurs monthly and is summarized in leadership dashboards. Evidence artifacts are retained in Jira for at least 36 months.</w:t>
      </w:r>
    </w:p>
    <w:p>
      <w:r>
        <w:t>Escalations should follow the on-call rotation with a response target of 15 minutes. Teams must log requests in Jira and track outcomes in ERP System for audit readiness. Stakeholders include the Support Specialist, service owner, and compliance lead for approvals.</w:t>
      </w:r>
    </w:p>
    <w:p>
      <w:pPr>
        <w:pStyle w:val="ListBullet"/>
      </w:pPr>
      <w:r>
        <w:t>Teams must log requests in Jira and track outcomes in ERP System for audit readiness.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Evidence artifacts are retained in Jira for at least 36 months.</w:t>
      </w:r>
    </w:p>
    <w:p>
      <w:pPr>
        <w:pStyle w:val="Heading1"/>
      </w:pPr>
      <w:r>
        <w:t>Escalation</w:t>
      </w:r>
    </w:p>
    <w:p>
      <w:r>
        <w:t>All incidents are tagged with severity and mapped to service tiers. The process integrates with ERP System and depends on ServiceNow for telemetry signals.</w:t>
      </w:r>
    </w:p>
    <w:p>
      <w:r>
        <w:t>Escalations should follow the on-call rotation with a response target of 15 minutes. We prioritize customer impact, data integrity, and regulatory alignment.</w:t>
      </w:r>
    </w:p>
    <w:p>
      <w:pPr>
        <w:pStyle w:val="ListBullet"/>
      </w:pPr>
      <w:r>
        <w:t>This document aligns with SOC 2 requirements and supports APAC data residency expectations.</w:t>
      </w:r>
    </w:p>
    <w:p>
      <w:pPr>
        <w:pStyle w:val="ListBullet"/>
      </w:pPr>
      <w:r>
        <w:t>Evidence artifacts are retained in Jira for at least 36 months.</w:t>
      </w:r>
    </w:p>
    <w:p>
      <w:pPr>
        <w:pStyle w:val="ListBullet"/>
      </w:pPr>
      <w:r>
        <w:t>The process integrates with ERP System and depends on ServiceNow for telemetry signals.</w:t>
      </w:r>
    </w:p>
    <w:p>
      <w:pPr>
        <w:pStyle w:val="ListBullet"/>
      </w:pPr>
      <w:r>
        <w:t>The process integrates with ERP System and depends on ServiceNow for telemetry signals.</w:t>
      </w:r>
    </w:p>
    <w:p>
      <w:pPr>
        <w:pStyle w:val="ListBullet"/>
      </w:pPr>
      <w:r>
        <w:t>The Data Platform organization uses ServiceNow to enforce consistent service baselines.</w:t>
      </w:r>
    </w:p>
    <w:p>
      <w:pPr>
        <w:pStyle w:val="Heading1"/>
      </w:pPr>
      <w:r>
        <w:t>Customer Follow-Up</w:t>
      </w:r>
    </w:p>
    <w:p>
      <w:r>
        <w:t>Audit sampling occurs monthly and is summarized in leadership dashboards. All incidents are tagged with severity and mapped to service tiers. The process integrates with ERP System and depends on ServiceNow for telemetry signals. Regional teams in APAC follow the same policy with localized legal review.</w:t>
      </w:r>
    </w:p>
    <w:p>
      <w:pPr>
        <w:pStyle w:val="ListBullet"/>
      </w:pPr>
      <w:r>
        <w:t>Stakeholders include the Support Specialist, service owner, and compliance lead for approvals.</w:t>
      </w:r>
    </w:p>
    <w:p>
      <w:pPr>
        <w:pStyle w:val="ListBullet"/>
      </w:pPr>
      <w:r>
        <w:t>Audit sampling occurs monthly and is summarized in leadership dashboards.</w:t>
      </w:r>
    </w:p>
    <w:p>
      <w:pPr>
        <w:pStyle w:val="ListBullet"/>
      </w:pPr>
      <w:r>
        <w:t>Stakeholders include the Support Specialist,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