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Engineering EU v3.0</w:t>
      </w:r>
    </w:p>
    <w:p>
      <w:r>
        <w:t>Department: Engineering</w:t>
      </w:r>
    </w:p>
    <w:p>
      <w:r>
        <w:t>Author: Avery Smith</w:t>
      </w:r>
    </w:p>
    <w:p>
      <w:r>
        <w:t>Created date: 2024-05-23</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Risk acceptance must be documented and revalidated each quarter. Stakeholders include the Security Analyst, service owner, and compliance lead for approvals. All changes require peer review and validation in the Endpoint Management before production promotion. All incidents are tagged with severity and mapped to service tiers.</w:t>
      </w:r>
    </w:p>
    <w:p>
      <w:r>
        <w:t>The Engineering organization uses Redis to enforce consistent service baselines. Systems are monitored via Redis and alert routing in Confluence. Evidence artifacts are retained in Confluence for at least 12 months.</w:t>
      </w:r>
    </w:p>
    <w:p>
      <w:pPr>
        <w:pStyle w:val="ListBullet"/>
      </w:pPr>
      <w:r>
        <w:t>This document aligns with GDPR requirements and supports EU data residency expectations.</w:t>
      </w:r>
    </w:p>
    <w:p>
      <w:pPr>
        <w:pStyle w:val="ListBullet"/>
      </w:pPr>
      <w:r>
        <w:t>This document aligns with GDPR requirements and supports EU data residency expectations.</w:t>
      </w:r>
    </w:p>
    <w:p>
      <w:pPr>
        <w:pStyle w:val="ListBullet"/>
      </w:pPr>
      <w:r>
        <w:t>All changes require peer review and validation in the Endpoint Management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Engineering</w:t>
            </w:r>
          </w:p>
        </w:tc>
        <w:tc>
          <w:tcPr>
            <w:tcW w:type="dxa" w:w="2880"/>
          </w:tcPr>
          <w:p>
            <w:r>
              <w:t>Blocked</w:t>
            </w:r>
          </w:p>
        </w:tc>
      </w:tr>
      <w:tr>
        <w:tc>
          <w:tcPr>
            <w:tcW w:type="dxa" w:w="2880"/>
          </w:tcPr>
          <w:p>
            <w:r>
              <w:t>Incident drill</w:t>
            </w:r>
          </w:p>
        </w:tc>
        <w:tc>
          <w:tcPr>
            <w:tcW w:type="dxa" w:w="2880"/>
          </w:tcPr>
          <w:p>
            <w:r>
              <w:t>Security Analyst</w:t>
            </w:r>
          </w:p>
        </w:tc>
        <w:tc>
          <w:tcPr>
            <w:tcW w:type="dxa" w:w="2880"/>
          </w:tcPr>
          <w:p>
            <w:r>
              <w:t>Complete</w:t>
            </w:r>
          </w:p>
        </w:tc>
      </w:tr>
      <w:tr>
        <w:tc>
          <w:tcPr>
            <w:tcW w:type="dxa" w:w="2880"/>
          </w:tcPr>
          <w:p>
            <w:r>
              <w:t>Patch window</w:t>
            </w:r>
          </w:p>
        </w:tc>
        <w:tc>
          <w:tcPr>
            <w:tcW w:type="dxa" w:w="2880"/>
          </w:tcPr>
          <w:p>
            <w:r>
              <w:t>Security</w:t>
            </w:r>
          </w:p>
        </w:tc>
        <w:tc>
          <w:tcPr>
            <w:tcW w:type="dxa" w:w="2880"/>
          </w:tcPr>
          <w:p>
            <w:r>
              <w:t>Planned</w:t>
            </w:r>
          </w:p>
        </w:tc>
      </w:tr>
    </w:tbl>
    <w:p>
      <w:pPr>
        <w:pStyle w:val="Heading1"/>
      </w:pPr>
      <w:r>
        <w:t>Triage</w:t>
      </w:r>
    </w:p>
    <w:p>
      <w:r>
        <w:t>Stakeholders include the Security Analyst, service owner, and compliance lead for approvals. Evidence artifacts are retained in Confluence for at least 12 months.</w:t>
      </w:r>
    </w:p>
    <w:p>
      <w:r>
        <w:t>Risk acceptance must be documented and revalidated each quarter. Evidence artifacts are retained in Confluence for at least 12 months.</w:t>
      </w:r>
    </w:p>
    <w:p>
      <w:pPr>
        <w:pStyle w:val="ListBullet"/>
      </w:pPr>
      <w:r>
        <w:t>Stakeholders include the Security Analyst, service owner, and compliance lead for approvals.</w:t>
      </w:r>
    </w:p>
    <w:p>
      <w:pPr>
        <w:pStyle w:val="ListBullet"/>
      </w:pPr>
      <w:r>
        <w:t>Regional teams in EU follow the same policy with localized legal review.</w:t>
      </w:r>
    </w:p>
    <w:p>
      <w:pPr>
        <w:pStyle w:val="ListBullet"/>
      </w:pPr>
      <w:r>
        <w:t>Risk acceptance must be documented and revalidated each quarter.</w:t>
      </w:r>
    </w:p>
    <w:p>
      <w:pPr>
        <w:pStyle w:val="Heading1"/>
      </w:pPr>
      <w:r>
        <w:t>Resolution</w:t>
      </w:r>
    </w:p>
    <w:p>
      <w:r>
        <w:t>The process integrates with Endpoint Management and depends on Redis for telemetry signals. This document aligns with GDPR requirements and supports EU data residency expectations.</w:t>
      </w:r>
    </w:p>
    <w:p>
      <w:r>
        <w:t>All changes require peer review and validation in the Endpoint Management before production promotion. All changes require peer review and validation in the Endpoint Management before production promotion. Teams must log requests in Confluence and track outcomes in Endpoint Management for audit readiness.</w:t>
      </w:r>
    </w:p>
    <w:p>
      <w:pPr>
        <w:pStyle w:val="ListBullet"/>
      </w:pPr>
      <w:r>
        <w:t>Evidence artifacts are retained in Confluence for at least 12 months.</w:t>
      </w:r>
    </w:p>
    <w:p>
      <w:pPr>
        <w:pStyle w:val="ListBullet"/>
      </w:pPr>
      <w:r>
        <w:t>Audit sampling occurs monthly and is summarized in leadership dashboards.</w:t>
      </w:r>
    </w:p>
    <w:p>
      <w:pPr>
        <w:pStyle w:val="ListBullet"/>
      </w:pPr>
      <w:r>
        <w:t>Systems are monitored via Redis and alert routing in Confluence.</w:t>
      </w:r>
    </w:p>
    <w:p>
      <w:pPr>
        <w:pStyle w:val="ListBullet"/>
      </w:pPr>
      <w:r>
        <w:t>All changes require peer review and validation in the Endpoint Management before production promotion.</w:t>
      </w:r>
    </w:p>
    <w:p>
      <w:pPr>
        <w:pStyle w:val="ListBullet"/>
      </w:pPr>
      <w:r>
        <w:t>Evidence artifacts are retained in Confluence for at least 12 months.</w:t>
      </w:r>
    </w:p>
    <w:p>
      <w:pPr>
        <w:pStyle w:val="Heading1"/>
      </w:pPr>
      <w:r>
        <w:t>Escalation</w:t>
      </w:r>
    </w:p>
    <w:p>
      <w:r>
        <w:t>This document aligns with GDPR requirements and supports EU data residency expectations. Regional teams in EU follow the same policy with localized legal review. Evidence artifacts are retained in Confluence for at least 12 months. Stakeholders include the Security Analyst, service owner, and compliance lead for approvals.</w:t>
      </w:r>
    </w:p>
    <w:p>
      <w:r>
        <w:t>The Engineering team coordinates with Security Analyst to maintain operational readiness. Stakeholders include the Security Analyst, service owner, and compliance lead for approvals. Regional teams in EU follow the same policy with localized legal review. We prioritize customer impact, data integrity, and regulatory alignment.</w:t>
      </w:r>
    </w:p>
    <w:p>
      <w:pPr>
        <w:pStyle w:val="ListBullet"/>
      </w:pPr>
      <w:r>
        <w:t>Escalations should follow the on-call rotation with a response target of 15 minutes.</w:t>
      </w:r>
    </w:p>
    <w:p>
      <w:pPr>
        <w:pStyle w:val="ListBullet"/>
      </w:pPr>
      <w:r>
        <w:t>We prioritize customer impact, data integrity, and regulatory alignment.</w:t>
      </w:r>
    </w:p>
    <w:p>
      <w:pPr>
        <w:pStyle w:val="ListBullet"/>
      </w:pPr>
      <w:r>
        <w:t>The process integrates with Endpoint Management and depends on Redis for telemetry signals.</w:t>
      </w:r>
    </w:p>
    <w:p>
      <w:pPr>
        <w:pStyle w:val="ListBullet"/>
      </w:pPr>
      <w:r>
        <w:t>Escalations should follow the on-call rotation with a response target of 15 minutes.</w:t>
      </w:r>
    </w:p>
    <w:p>
      <w:pPr>
        <w:pStyle w:val="ListBullet"/>
      </w:pPr>
      <w:r>
        <w:t>The Engineering team coordinates with Security Analyst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Backup validation</w:t>
            </w:r>
          </w:p>
        </w:tc>
        <w:tc>
          <w:tcPr>
            <w:tcW w:type="dxa" w:w="2880"/>
          </w:tcPr>
          <w:p>
            <w:r>
              <w:t>Engineering</w:t>
            </w:r>
          </w:p>
        </w:tc>
        <w:tc>
          <w:tcPr>
            <w:tcW w:type="dxa" w:w="2880"/>
          </w:tcPr>
          <w:p>
            <w:r>
              <w:t>In Progress</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Access review</w:t>
            </w:r>
          </w:p>
        </w:tc>
        <w:tc>
          <w:tcPr>
            <w:tcW w:type="dxa" w:w="2880"/>
          </w:tcPr>
          <w:p>
            <w:r>
              <w:t>Engineering</w:t>
            </w:r>
          </w:p>
        </w:tc>
        <w:tc>
          <w:tcPr>
            <w:tcW w:type="dxa" w:w="2880"/>
          </w:tcPr>
          <w:p>
            <w:r>
              <w:t>Complete</w:t>
            </w:r>
          </w:p>
        </w:tc>
      </w:tr>
    </w:tbl>
    <w:p>
      <w:pPr>
        <w:pStyle w:val="Heading1"/>
      </w:pPr>
      <w:r>
        <w:t>Customer Follow-Up</w:t>
      </w:r>
    </w:p>
    <w:p>
      <w:r>
        <w:t>All incidents are tagged with severity and mapped to service tiers. Stakeholders include the Security Analyst, service owner, and compliance lead for approvals. All changes require peer review and validation in the Endpoint Management before production promotion. Stakeholders include the Security Analyst, service owner, and compliance lead for approvals.</w:t>
      </w:r>
    </w:p>
    <w:p>
      <w:pPr>
        <w:pStyle w:val="ListBullet"/>
      </w:pPr>
      <w:r>
        <w:t>Teams must log requests in Confluence and track outcomes in Endpoint Management for audit readiness.</w:t>
      </w:r>
    </w:p>
    <w:p>
      <w:pPr>
        <w:pStyle w:val="ListBullet"/>
      </w:pPr>
      <w:r>
        <w:t>We prioritize customer impact, data integrity, and regulatory alignment.</w:t>
      </w:r>
    </w:p>
    <w:p>
      <w:pPr>
        <w:pStyle w:val="ListBullet"/>
      </w:pPr>
      <w:r>
        <w:t>Stakeholders include the Security Analyst, service owner, and compliance lead for approvals.</w:t>
      </w:r>
    </w:p>
    <w:p>
      <w:pPr>
        <w:pStyle w:val="ListBullet"/>
      </w:pPr>
      <w:r>
        <w:t>The Engineering organization uses Redis to enforce consistent service baselines.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