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Finance APAC v1.0</w:t>
      </w:r>
    </w:p>
    <w:p>
      <w:r>
        <w:t>Department: Finance</w:t>
      </w:r>
    </w:p>
    <w:p>
      <w:r>
        <w:t>Author: Taylor Patel</w:t>
      </w:r>
    </w:p>
    <w:p>
      <w:r>
        <w:t>Created date: 2025-12-04</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The Finance team coordinates with Security Analyst to maintain operational readiness. Stakeholders include the Security Analyst, service owner, and compliance lead for approvals.</w:t>
      </w:r>
    </w:p>
    <w:p>
      <w:r>
        <w:t>Stakeholders include the Security Analyst, service owner, and compliance lead for approvals. Evidence artifacts are retained in SAP for at least 18 months. All incidents are tagged with severity and mapped to service tiers.</w:t>
      </w:r>
    </w:p>
    <w:p>
      <w:pPr>
        <w:pStyle w:val="ListBullet"/>
      </w:pPr>
      <w:r>
        <w:t>Teams must log requests in SAP and track outcomes in Payment Processing Service for audit readiness.</w:t>
      </w:r>
    </w:p>
    <w:p>
      <w:pPr>
        <w:pStyle w:val="ListBullet"/>
      </w:pPr>
      <w:r>
        <w:t>Regional teams in APAC follow the same policy with localized legal review.</w:t>
      </w:r>
    </w:p>
    <w:p>
      <w:pPr>
        <w:pStyle w:val="ListBullet"/>
      </w:pPr>
      <w:r>
        <w:t>This document aligns with GDPR requirements and supports APAC data residency expectations.</w:t>
      </w:r>
    </w:p>
    <w:p>
      <w:pPr>
        <w:pStyle w:val="ListBullet"/>
      </w:pPr>
      <w:r>
        <w:t>We prioritize customer impact, data integrity, and regulatory alignment.</w:t>
      </w:r>
    </w:p>
    <w:p>
      <w:pPr>
        <w:pStyle w:val="ListBullet"/>
      </w:pPr>
      <w:r>
        <w:t>Teams must log requests in SAP and track outcomes in Payment Processing Service for audit readiness.</w:t>
      </w:r>
    </w:p>
    <w:p>
      <w:pPr>
        <w:pStyle w:val="Heading1"/>
      </w:pPr>
      <w:r>
        <w:t>Triage</w:t>
      </w:r>
    </w:p>
    <w:p>
      <w:r>
        <w:t>All incidents are tagged with severity and mapped to service tiers. All incidents are tagged with severity and mapped to service tiers. The Finance organization uses Azure AD to enforce consistent service baselines.</w:t>
      </w:r>
    </w:p>
    <w:p>
      <w:pPr>
        <w:pStyle w:val="ListBullet"/>
      </w:pPr>
      <w:r>
        <w:t>Stakeholders include the Security Analyst, service owner, and compliance lead for approvals.</w:t>
      </w:r>
    </w:p>
    <w:p>
      <w:pPr>
        <w:pStyle w:val="ListBullet"/>
      </w:pPr>
      <w:r>
        <w:t>This document aligns with GDPR requirements and supports APAC data residency expectations.</w:t>
      </w:r>
    </w:p>
    <w:p>
      <w:pPr>
        <w:pStyle w:val="ListBullet"/>
      </w:pPr>
      <w:r>
        <w:t>The process integrates with Payment Processing Service and depends on Azure AD for telemetry signals.</w:t>
      </w:r>
    </w:p>
    <w:p>
      <w:pPr>
        <w:pStyle w:val="ListBullet"/>
      </w:pPr>
      <w:r>
        <w:t>The process integrates with Payment Processing Service and depends on Azure AD for telemetry signals.</w:t>
      </w:r>
    </w:p>
    <w:p>
      <w:pPr>
        <w:pStyle w:val="ListBullet"/>
      </w:pPr>
      <w:r>
        <w:t>Stakeholders include the Security Analyst, service owner, and compliance lead for approvals.</w:t>
      </w:r>
    </w:p>
    <w:p>
      <w:pPr>
        <w:pStyle w:val="ListBullet"/>
      </w:pPr>
      <w:r>
        <w:t>Escalations should follow the on-call rotation with a response target of 15 minutes.</w:t>
      </w:r>
    </w:p>
    <w:p>
      <w:pPr>
        <w:pStyle w:val="Heading1"/>
      </w:pPr>
      <w:r>
        <w:t>Resolution</w:t>
      </w:r>
    </w:p>
    <w:p>
      <w:r>
        <w:t>Stakeholders include the Security Analyst, service owner, and compliance lead for approvals. The process integrates with Payment Processing Service and depends on Azure AD for telemetry signals. Stakeholders include the Security Analyst, service owner, and compliance lead for approvals. Teams must log requests in SAP and track outcomes in Payment Processing Service for audit readiness.</w:t>
      </w:r>
    </w:p>
    <w:p>
      <w:r>
        <w:t>Escalations should follow the on-call rotation with a response target of 15 minutes. Evidence artifacts are retained in SAP for at least 18 months. Escalations should follow the on-call rotation with a response target of 15 minutes.</w:t>
      </w:r>
    </w:p>
    <w:p>
      <w:pPr>
        <w:pStyle w:val="ListBullet"/>
      </w:pPr>
      <w:r>
        <w:t>The Finance team coordinates with Security Analyst to maintain operational readiness.</w:t>
      </w:r>
    </w:p>
    <w:p>
      <w:pPr>
        <w:pStyle w:val="ListBullet"/>
      </w:pPr>
      <w:r>
        <w:t>Risk acceptance must be documented and revalidated each quarter.</w:t>
      </w:r>
    </w:p>
    <w:p>
      <w:pPr>
        <w:pStyle w:val="ListBullet"/>
      </w:pPr>
      <w:r>
        <w:t>All incidents are tagged with severity and mapped to service tiers.</w:t>
      </w:r>
    </w:p>
    <w:p>
      <w:pPr>
        <w:pStyle w:val="Heading1"/>
      </w:pPr>
      <w:r>
        <w:t>Escalation</w:t>
      </w:r>
    </w:p>
    <w:p>
      <w:r>
        <w:t>Escalations should follow the on-call rotation with a response target of 15 minutes. The process integrates with Payment Processing Service and depends on Azure AD for telemetry signals. Stakeholders include the Security Analyst, service owner, and compliance lead for approvals. Evidence artifacts are retained in SAP for at least 18 months.</w:t>
      </w:r>
    </w:p>
    <w:p>
      <w:pPr>
        <w:pStyle w:val="ListBullet"/>
      </w:pPr>
      <w:r>
        <w:t>Escalations should follow the on-call rotation with a response target of 15 minutes.</w:t>
      </w:r>
    </w:p>
    <w:p>
      <w:pPr>
        <w:pStyle w:val="ListBullet"/>
      </w:pPr>
      <w:r>
        <w:t>Evidence artifacts are retained in SAP for at least 18 months.</w:t>
      </w:r>
    </w:p>
    <w:p>
      <w:pPr>
        <w:pStyle w:val="ListBullet"/>
      </w:pPr>
      <w:r>
        <w:t>Regional teams in APAC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Planned</w:t>
            </w:r>
          </w:p>
        </w:tc>
      </w:tr>
      <w:tr>
        <w:tc>
          <w:tcPr>
            <w:tcW w:type="dxa" w:w="2880"/>
          </w:tcPr>
          <w:p>
            <w:r>
              <w:t>Patch window</w:t>
            </w:r>
          </w:p>
        </w:tc>
        <w:tc>
          <w:tcPr>
            <w:tcW w:type="dxa" w:w="2880"/>
          </w:tcPr>
          <w:p>
            <w:r>
              <w:t>Security</w:t>
            </w:r>
          </w:p>
        </w:tc>
        <w:tc>
          <w:tcPr>
            <w:tcW w:type="dxa" w:w="2880"/>
          </w:tcPr>
          <w:p>
            <w:r>
              <w:t>Blocked</w:t>
            </w:r>
          </w:p>
        </w:tc>
      </w:tr>
    </w:tbl>
    <w:p>
      <w:pPr>
        <w:pStyle w:val="Heading1"/>
      </w:pPr>
      <w:r>
        <w:t>Customer Follow-Up</w:t>
      </w:r>
    </w:p>
    <w:p>
      <w:r>
        <w:t>Teams must log requests in SAP and track outcomes in Payment Processing Service for audit readiness. Audit sampling occurs monthly and is summarized in leadership dashboards. Regional teams in APAC follow the same policy with localized legal review.</w:t>
      </w:r>
    </w:p>
    <w:p>
      <w:pPr>
        <w:pStyle w:val="ListBullet"/>
      </w:pPr>
      <w:r>
        <w:t>Risk acceptance must be documented and revalidated each quarter.</w:t>
      </w:r>
    </w:p>
    <w:p>
      <w:pPr>
        <w:pStyle w:val="ListBullet"/>
      </w:pPr>
      <w:r>
        <w:t>The Finance team coordinates with Security Analyst to maintain operational readiness.</w:t>
      </w:r>
    </w:p>
    <w:p>
      <w:pPr>
        <w:pStyle w:val="ListBullet"/>
      </w:pPr>
      <w:r>
        <w:t>Systems are monitored via Azure AD and alert routing in SAP.</w:t>
      </w:r>
    </w:p>
    <w:p>
      <w:pPr>
        <w:pStyle w:val="ListBullet"/>
      </w:pPr>
      <w:r>
        <w:t>Escalations should follow the on-call rotation with a response target of 15 minutes.</w:t>
      </w:r>
    </w:p>
    <w:p>
      <w:pPr>
        <w:pStyle w:val="ListBullet"/>
      </w:pPr>
      <w:r>
        <w:t>The Finance organization uses Azure AD to enforce consistent service baselines.</w:t>
      </w:r>
    </w:p>
    <w:p>
      <w:pPr>
        <w:pStyle w:val="ListBullet"/>
      </w:pPr>
      <w:r>
        <w:t>Evidence artifacts are retained in SAP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Finance</w:t>
            </w:r>
          </w:p>
        </w:tc>
        <w:tc>
          <w:tcPr>
            <w:tcW w:type="dxa" w:w="2880"/>
          </w:tcPr>
          <w:p>
            <w:r>
              <w:t>Blocked</w:t>
            </w:r>
          </w:p>
        </w:tc>
      </w:tr>
      <w:tr>
        <w:tc>
          <w:tcPr>
            <w:tcW w:type="dxa" w:w="2880"/>
          </w:tcPr>
          <w:p>
            <w:r>
              <w:t>Patch window</w:t>
            </w:r>
          </w:p>
        </w:tc>
        <w:tc>
          <w:tcPr>
            <w:tcW w:type="dxa" w:w="2880"/>
          </w:tcPr>
          <w:p>
            <w:r>
              <w:t>Security Analyst</w:t>
            </w:r>
          </w:p>
        </w:tc>
        <w:tc>
          <w:tcPr>
            <w:tcW w:type="dxa" w:w="2880"/>
          </w:tcPr>
          <w:p>
            <w:r>
              <w:t>In Progress</w:t>
            </w:r>
          </w:p>
        </w:tc>
      </w:tr>
      <w:tr>
        <w:tc>
          <w:tcPr>
            <w:tcW w:type="dxa" w:w="2880"/>
          </w:tcPr>
          <w:p>
            <w:r>
              <w:t>Patch window</w:t>
            </w:r>
          </w:p>
        </w:tc>
        <w:tc>
          <w:tcPr>
            <w:tcW w:type="dxa" w:w="2880"/>
          </w:tcPr>
          <w:p>
            <w:r>
              <w:t>Security</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