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EU v3.0</w:t>
      </w:r>
    </w:p>
    <w:p>
      <w:r>
        <w:t>Department: Finance</w:t>
      </w:r>
    </w:p>
    <w:p>
      <w:r>
        <w:t>Author: Riley Smith</w:t>
      </w:r>
    </w:p>
    <w:p>
      <w:r>
        <w:t>Created date: 2024-10-01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Risk acceptance must be documented and revalidated each quarter. Escalations should follow the on-call rotation with a response target of 60 minutes. Teams must log requests in Workday and track outcomes in CI/CD Pipeline for audit readiness.</w:t>
      </w:r>
    </w:p>
    <w:p>
      <w:r>
        <w:t>All incidents are tagged with severity and mapped to service tiers. Stakeholders include the HR Business Partner, service owner, and compliance lead for approvals. Systems are monitored via Kubernetes and alert routing in Workday. Escalations should follow the on-call rotation with a response target of 60 minutes.</w:t>
      </w:r>
    </w:p>
    <w:p>
      <w:pPr>
        <w:pStyle w:val="ListBullet"/>
      </w:pPr>
      <w:r>
        <w:t>Systems are monitored via Kubernetes and alert routing in Workday.</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Triage</w:t>
      </w:r>
    </w:p>
    <w:p>
      <w:r>
        <w:t>The Finance team coordinates with HR Business Partner to maintain operational readiness. The Finance team coordinates with HR Business Partner to maintain operational readiness. Risk acceptance must be documented and revalidated each quarter.</w:t>
      </w:r>
    </w:p>
    <w:p>
      <w:r>
        <w:t>All changes require peer review and validation in the CI/CD Pipeline before production promotion. Regional teams in EU follow the same policy with localized legal review. Evidence artifacts are retained in Workday for at least 24 months.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Teams must log requests in Workday and track outcomes in CI/CD Pipeline for audit readiness.</w:t>
      </w:r>
    </w:p>
    <w:p>
      <w:pPr>
        <w:pStyle w:val="ListBullet"/>
      </w:pPr>
      <w:r>
        <w:t>The Finance team coordinates with HR Business Partner to maintain operational readiness.</w:t>
      </w:r>
    </w:p>
    <w:p>
      <w:pPr>
        <w:pStyle w:val="ListBullet"/>
      </w:pPr>
      <w:r>
        <w:t>Systems are monitored via Kubernetes and alert routing in Workday.</w:t>
      </w:r>
    </w:p>
    <w:p>
      <w:pPr>
        <w:pStyle w:val="Heading1"/>
      </w:pPr>
      <w:r>
        <w:t>Resolution</w:t>
      </w:r>
    </w:p>
    <w:p>
      <w:r>
        <w:t>The process integrates with CI/CD Pipeline and depends on Kubernetes for telemetry signals. Teams must log requests in Workday and track outcomes in CI/CD Pipeline for audit readiness. Systems are monitored via Kubernetes and alert routing in Workday.</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Systems are monitored via Kubernetes and alert routing in Workday.</w:t>
      </w:r>
    </w:p>
    <w:p>
      <w:pPr>
        <w:pStyle w:val="ListBullet"/>
      </w:pPr>
      <w:r>
        <w:t>Teams must log requests in Workday and track outcomes in CI/CD Pipeline for audit readiness.</w:t>
      </w:r>
    </w:p>
    <w:p>
      <w:pPr>
        <w:pStyle w:val="ListBullet"/>
      </w:pPr>
      <w:r>
        <w:t>The Finance organization uses Kubernetes to enforce consistent service baselines.</w:t>
      </w:r>
    </w:p>
    <w:p>
      <w:pPr>
        <w:pStyle w:val="Heading1"/>
      </w:pPr>
      <w:r>
        <w:t>Escalation</w:t>
      </w:r>
    </w:p>
    <w:p>
      <w:r>
        <w:t>All changes require peer review and validation in the CI/CD Pipeline before production promotion. The Finance team coordinates with HR Business Partner to maintain operational readiness. Audit sampling occurs monthly and is summarized in leadership dashboards.</w:t>
      </w:r>
    </w:p>
    <w:p>
      <w:pPr>
        <w:pStyle w:val="ListBullet"/>
      </w:pPr>
      <w:r>
        <w:t>Stakeholders include the HR Business Partner, service owner, and compliance lead for approvals.</w:t>
      </w:r>
    </w:p>
    <w:p>
      <w:pPr>
        <w:pStyle w:val="ListBullet"/>
      </w:pPr>
      <w:r>
        <w:t>The process integrates with CI/CD Pipeline and depends on Kubernetes for telemetry signals.</w:t>
      </w:r>
    </w:p>
    <w:p>
      <w:pPr>
        <w:pStyle w:val="ListBullet"/>
      </w:pPr>
      <w:r>
        <w:t>The process integrates with CI/CD Pipeline and depends on Kubernetes for telemetry signals.</w:t>
      </w:r>
    </w:p>
    <w:p>
      <w:pPr>
        <w:pStyle w:val="ListBullet"/>
      </w:pPr>
      <w:r>
        <w:t>Escalations should follow the on-call rotation with a response target of 60 minutes.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Finance</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Finance</w:t>
            </w:r>
          </w:p>
        </w:tc>
        <w:tc>
          <w:tcPr>
            <w:tcW w:type="dxa" w:w="2880"/>
          </w:tcPr>
          <w:p>
            <w:r>
              <w:t>Complete</w:t>
            </w:r>
          </w:p>
        </w:tc>
      </w:tr>
    </w:tbl>
    <w:p>
      <w:pPr>
        <w:pStyle w:val="Heading1"/>
      </w:pPr>
      <w:r>
        <w:t>Customer Follow-Up</w:t>
      </w:r>
    </w:p>
    <w:p>
      <w:r>
        <w:t>Regional teams in EU follow the same policy with localized legal review. Escalations should follow the on-call rotation with a response target of 60 minutes. Audit sampling occurs monthly and is summarized in leadership dashboards.</w:t>
      </w:r>
    </w:p>
    <w:p>
      <w:pPr>
        <w:pStyle w:val="ListBullet"/>
      </w:pPr>
      <w:r>
        <w:t>Teams must log requests in Workday and track outcomes in CI/CD Pipeline for audit readiness.</w:t>
      </w:r>
    </w:p>
    <w:p>
      <w:pPr>
        <w:pStyle w:val="ListBullet"/>
      </w:pPr>
      <w:r>
        <w:t>Risk acceptance must be documented and revalidated each quarter.</w:t>
      </w:r>
    </w:p>
    <w:p>
      <w:pPr>
        <w:pStyle w:val="ListBullet"/>
      </w:pPr>
      <w:r>
        <w:t>Systems are monitored via Kubernetes and alert routing in Workday.</w:t>
      </w:r>
    </w:p>
    <w:p>
      <w:pPr>
        <w:pStyle w:val="ListBullet"/>
      </w:pPr>
      <w:r>
        <w:t>Risk acceptance must be documented and revalidated each quarter.</w:t>
      </w:r>
    </w:p>
    <w:p>
      <w:pPr>
        <w:pStyle w:val="ListBullet"/>
      </w:pPr>
      <w:r>
        <w:t>The Finance organization uses Kubernetes to enforce consistent service baselines.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