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Procedures - Finance EU v1.2</w:t>
      </w:r>
    </w:p>
    <w:p>
      <w:r>
        <w:t>Department: Finance</w:t>
      </w:r>
    </w:p>
    <w:p>
      <w:r>
        <w:t>Author: Jordan Kim</w:t>
      </w:r>
    </w:p>
    <w:p>
      <w:r>
        <w:t>Created date: 2025-06-20</w:t>
      </w:r>
    </w:p>
    <w:p>
      <w:r>
        <w:t>Region: EU</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Intake</w:t>
      </w:r>
    </w:p>
    <w:p>
      <w:r>
        <w:t>Stakeholders include the Security Analyst, service owner, and compliance lead for approvals. Escalations should follow the on-call rotation with a response target of 30 minutes. Systems are monitored via AWS and alert routing in Zoom. Teams must log requests in Zoom and track outcomes in Endpoint Management for audit readiness.</w:t>
      </w:r>
    </w:p>
    <w:p>
      <w:pPr>
        <w:pStyle w:val="ListBullet"/>
      </w:pPr>
      <w:r>
        <w:t>Regional teams in EU follow the same policy with localized legal review.</w:t>
      </w:r>
    </w:p>
    <w:p>
      <w:pPr>
        <w:pStyle w:val="ListBullet"/>
      </w:pPr>
      <w:r>
        <w:t>Evidence artifacts are retained in Zoom for at least 24 months.</w:t>
      </w:r>
    </w:p>
    <w:p>
      <w:pPr>
        <w:pStyle w:val="ListBullet"/>
      </w:pPr>
      <w:r>
        <w:t>Audit sampling occurs monthly and is summarized in leadership dashboards.</w:t>
      </w:r>
    </w:p>
    <w:p>
      <w:pPr>
        <w:pStyle w:val="ListBullet"/>
      </w:pPr>
      <w:r>
        <w:t>Regional teams in EU follow the same policy with localized legal review.</w:t>
      </w:r>
    </w:p>
    <w:p>
      <w:pPr>
        <w:pStyle w:val="Heading1"/>
      </w:pPr>
      <w:r>
        <w:t>Triage</w:t>
      </w:r>
    </w:p>
    <w:p>
      <w:r>
        <w:t>Regional teams in EU follow the same policy with localized legal review. All incidents are tagged with severity and mapped to service tiers.</w:t>
      </w:r>
    </w:p>
    <w:p>
      <w:r>
        <w:t>Systems are monitored via AWS and alert routing in Zoom. Regional teams in EU follow the same policy with localized legal review. This document aligns with GDPR requirements and supports EU data residency expectations. Risk acceptance must be documented and revalidated each quarter.</w:t>
      </w:r>
    </w:p>
    <w:p>
      <w:pPr>
        <w:pStyle w:val="ListBullet"/>
      </w:pPr>
      <w:r>
        <w:t>Teams must log requests in Zoom and track outcomes in Endpoint Management for audit readiness.</w:t>
      </w:r>
    </w:p>
    <w:p>
      <w:pPr>
        <w:pStyle w:val="ListBullet"/>
      </w:pPr>
      <w:r>
        <w:t>Audit sampling occurs monthly and is summarized in leadership dashboards.</w:t>
      </w:r>
    </w:p>
    <w:p>
      <w:pPr>
        <w:pStyle w:val="ListBullet"/>
      </w:pPr>
      <w:r>
        <w:t>Risk acceptance must be documented and revalidated each quarter.</w:t>
      </w:r>
    </w:p>
    <w:p>
      <w:pPr>
        <w:pStyle w:val="ListBullet"/>
      </w:pPr>
      <w:r>
        <w:t>Evidence artifacts are retained in Zoom for at least 24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Operations</w:t>
            </w:r>
          </w:p>
        </w:tc>
        <w:tc>
          <w:tcPr>
            <w:tcW w:type="dxa" w:w="2880"/>
          </w:tcPr>
          <w:p>
            <w:r>
              <w:t>Planned</w:t>
            </w:r>
          </w:p>
        </w:tc>
      </w:tr>
      <w:tr>
        <w:tc>
          <w:tcPr>
            <w:tcW w:type="dxa" w:w="2880"/>
          </w:tcPr>
          <w:p>
            <w:r>
              <w:t>Access review</w:t>
            </w:r>
          </w:p>
        </w:tc>
        <w:tc>
          <w:tcPr>
            <w:tcW w:type="dxa" w:w="2880"/>
          </w:tcPr>
          <w:p>
            <w:r>
              <w:t>Security</w:t>
            </w:r>
          </w:p>
        </w:tc>
        <w:tc>
          <w:tcPr>
            <w:tcW w:type="dxa" w:w="2880"/>
          </w:tcPr>
          <w:p>
            <w:r>
              <w:t>Blocked</w:t>
            </w:r>
          </w:p>
        </w:tc>
      </w:tr>
      <w:tr>
        <w:tc>
          <w:tcPr>
            <w:tcW w:type="dxa" w:w="2880"/>
          </w:tcPr>
          <w:p>
            <w:r>
              <w:t>Access review</w:t>
            </w:r>
          </w:p>
        </w:tc>
        <w:tc>
          <w:tcPr>
            <w:tcW w:type="dxa" w:w="2880"/>
          </w:tcPr>
          <w:p>
            <w:r>
              <w:t>Security</w:t>
            </w:r>
          </w:p>
        </w:tc>
        <w:tc>
          <w:tcPr>
            <w:tcW w:type="dxa" w:w="2880"/>
          </w:tcPr>
          <w:p>
            <w:r>
              <w:t>Blocked</w:t>
            </w:r>
          </w:p>
        </w:tc>
      </w:tr>
      <w:tr>
        <w:tc>
          <w:tcPr>
            <w:tcW w:type="dxa" w:w="2880"/>
          </w:tcPr>
          <w:p>
            <w:r>
              <w:t>Vendor check</w:t>
            </w:r>
          </w:p>
        </w:tc>
        <w:tc>
          <w:tcPr>
            <w:tcW w:type="dxa" w:w="2880"/>
          </w:tcPr>
          <w:p>
            <w:r>
              <w:t>Operations</w:t>
            </w:r>
          </w:p>
        </w:tc>
        <w:tc>
          <w:tcPr>
            <w:tcW w:type="dxa" w:w="2880"/>
          </w:tcPr>
          <w:p>
            <w:r>
              <w:t>Planned</w:t>
            </w:r>
          </w:p>
        </w:tc>
      </w:tr>
    </w:tbl>
    <w:p>
      <w:pPr>
        <w:pStyle w:val="Heading1"/>
      </w:pPr>
      <w:r>
        <w:t>Resolution</w:t>
      </w:r>
    </w:p>
    <w:p>
      <w:r>
        <w:t>All incidents are tagged with severity and mapped to service tiers. The Finance team coordinates with Security Analyst to maintain operational readiness.</w:t>
      </w:r>
    </w:p>
    <w:p>
      <w:pPr>
        <w:pStyle w:val="ListBullet"/>
      </w:pPr>
      <w:r>
        <w:t>Audit sampling occurs monthly and is summarized in leadership dashboards.</w:t>
      </w:r>
    </w:p>
    <w:p>
      <w:pPr>
        <w:pStyle w:val="ListBullet"/>
      </w:pPr>
      <w:r>
        <w:t>Regional teams in EU follow the same policy with localized legal review.</w:t>
      </w:r>
    </w:p>
    <w:p>
      <w:pPr>
        <w:pStyle w:val="ListBullet"/>
      </w:pPr>
      <w:r>
        <w:t>Systems are monitored via AWS and alert routing in Zoom.</w:t>
      </w:r>
    </w:p>
    <w:p>
      <w:pPr>
        <w:pStyle w:val="ListBullet"/>
      </w:pPr>
      <w:r>
        <w:t>Regional teams in EU follow the same policy with localized legal review.</w:t>
      </w:r>
    </w:p>
    <w:p>
      <w:pPr>
        <w:pStyle w:val="ListBullet"/>
      </w:pPr>
      <w:r>
        <w:t>The Finance team coordinates with Security Analyst to maintain operational readiness.</w:t>
      </w:r>
    </w:p>
    <w:p>
      <w:pPr>
        <w:pStyle w:val="Heading1"/>
      </w:pPr>
      <w:r>
        <w:t>Escalation</w:t>
      </w:r>
    </w:p>
    <w:p>
      <w:r>
        <w:t>Regional teams in EU follow the same policy with localized legal review. Regional teams in EU follow the same policy with localized legal review. Stakeholders include the Security Analyst, service owner, and compliance lead for approvals.</w:t>
      </w:r>
    </w:p>
    <w:p>
      <w:r>
        <w:t>Systems are monitored via AWS and alert routing in Zoom. All changes require peer review and validation in the Endpoint Management before production promotion.</w:t>
      </w:r>
    </w:p>
    <w:p>
      <w:pPr>
        <w:pStyle w:val="ListBullet"/>
      </w:pPr>
      <w:r>
        <w:t>All changes require peer review and validation in the Endpoint Management before production promotion.</w:t>
      </w:r>
    </w:p>
    <w:p>
      <w:pPr>
        <w:pStyle w:val="ListBullet"/>
      </w:pPr>
      <w:r>
        <w:t>All changes require peer review and validation in the Endpoint Management before production promotion.</w:t>
      </w:r>
    </w:p>
    <w:p>
      <w:pPr>
        <w:pStyle w:val="ListBullet"/>
      </w:pPr>
      <w:r>
        <w:t>Stakeholders include the Security Analyst, service owner, and compliance lead for approvals.</w:t>
      </w:r>
    </w:p>
    <w:p>
      <w:pPr>
        <w:pStyle w:val="ListBullet"/>
      </w:pPr>
      <w:r>
        <w:t>The process integrates with Endpoint Management and depends on AWS for telemetry signals.</w:t>
      </w:r>
    </w:p>
    <w:p>
      <w:pPr>
        <w:pStyle w:val="ListBullet"/>
      </w:pPr>
      <w:r>
        <w:t>Teams must log requests in Zoom and track outcomes in Endpoint Management for audit readiness.</w:t>
      </w:r>
    </w:p>
    <w:p>
      <w:pPr>
        <w:pStyle w:val="ListBullet"/>
      </w:pPr>
      <w:r>
        <w:t>The Finance team coordinates with Security Analyst to maintain operational readiness.</w:t>
      </w:r>
    </w:p>
    <w:p>
      <w:pPr>
        <w:pStyle w:val="Heading1"/>
      </w:pPr>
      <w:r>
        <w:t>Customer Follow-Up</w:t>
      </w:r>
    </w:p>
    <w:p>
      <w:r>
        <w:t>Audit sampling occurs monthly and is summarized in leadership dashboards. All incidents are tagged with severity and mapped to service tiers.</w:t>
      </w:r>
    </w:p>
    <w:p>
      <w:pPr>
        <w:pStyle w:val="ListBullet"/>
      </w:pPr>
      <w:r>
        <w:t>Stakeholders include the Security Analyst, service owner, and compliance lead for approvals.</w:t>
      </w:r>
    </w:p>
    <w:p>
      <w:pPr>
        <w:pStyle w:val="ListBullet"/>
      </w:pPr>
      <w:r>
        <w:t>The Finance organization uses AWS to enforce consistent service baselines.</w:t>
      </w:r>
    </w:p>
    <w:p>
      <w:pPr>
        <w:pStyle w:val="ListBullet"/>
      </w:pPr>
      <w:r>
        <w:t>Systems are monitored via AWS and alert routing in Zoom.</w:t>
      </w:r>
    </w:p>
    <w:p>
      <w:pPr>
        <w:pStyle w:val="ListBullet"/>
      </w:pPr>
      <w:r>
        <w:t>Regional teams in EU follow the same policy with localized legal review.</w:t>
      </w:r>
    </w:p>
    <w:p>
      <w:pPr>
        <w:pStyle w:val="ListBullet"/>
      </w:pPr>
      <w:r>
        <w:t>We prioritize customer impact, data integrity, and regulatory alignment.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