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EU v1.2</w:t>
      </w:r>
    </w:p>
    <w:p>
      <w:r>
        <w:t>Department: Finance</w:t>
      </w:r>
    </w:p>
    <w:p>
      <w:r>
        <w:t>Author: Avery Lee</w:t>
      </w:r>
    </w:p>
    <w:p>
      <w:r>
        <w:t>Created date: 2026-04-27</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Audit sampling occurs monthly and is summarized in leadership dashboards. Risk acceptance must be documented and revalidated each quarter. Regional teams in EU follow the same policy with localized legal review.</w:t>
      </w:r>
    </w:p>
    <w:p>
      <w:r>
        <w:t>We prioritize customer impact, data integrity, and regulatory alignment. Audit sampling occurs monthly and is summarized in leadership dashboards. Audit sampling occurs monthly and is summarized in leadership dashboards.</w:t>
      </w:r>
    </w:p>
    <w:p>
      <w:pPr>
        <w:pStyle w:val="ListBullet"/>
      </w:pPr>
      <w:r>
        <w:t>This document aligns with HIPAA requirements and supports EU data residency expectations.</w:t>
      </w:r>
    </w:p>
    <w:p>
      <w:pPr>
        <w:pStyle w:val="ListBullet"/>
      </w:pPr>
      <w:r>
        <w:t>The process integrates with Customer Data Lake and depends on GCP for telemetry signals.</w:t>
      </w:r>
    </w:p>
    <w:p>
      <w:pPr>
        <w:pStyle w:val="ListBullet"/>
      </w:pPr>
      <w:r>
        <w:t>The Finance organization uses GCP to enforce consistent service baselines.</w:t>
      </w:r>
    </w:p>
    <w:p>
      <w:pPr>
        <w:pStyle w:val="Heading1"/>
      </w:pPr>
      <w:r>
        <w:t>Triage</w:t>
      </w:r>
    </w:p>
    <w:p>
      <w:r>
        <w:t>We prioritize customer impact, data integrity, and regulatory alignment. Evidence artifacts are retained in SAP for at least 24 months. All changes require peer review and validation in the Customer Data Lake before production promotion.</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All changes require peer review and validation in the Customer Data Lake before production promotion.</w:t>
      </w:r>
    </w:p>
    <w:p>
      <w:pPr>
        <w:pStyle w:val="ListBullet"/>
      </w:pPr>
      <w:r>
        <w:t>Audit sampling occurs monthly and is summarized in leadership dashboards.</w:t>
      </w:r>
    </w:p>
    <w:p>
      <w:pPr>
        <w:pStyle w:val="Heading1"/>
      </w:pPr>
      <w:r>
        <w:t>Resolution</w:t>
      </w:r>
    </w:p>
    <w:p>
      <w:r>
        <w:t>The Finance organization uses GCP to enforce consistent service baselines. The Finance team coordinates with Product Manager to maintain operational readiness. All incidents are tagged with severity and mapped to service tiers.</w:t>
      </w:r>
    </w:p>
    <w:p>
      <w:pPr>
        <w:pStyle w:val="ListBullet"/>
      </w:pPr>
      <w:r>
        <w:t>Evidence artifacts are retained in SAP for at least 24 months.</w:t>
      </w:r>
    </w:p>
    <w:p>
      <w:pPr>
        <w:pStyle w:val="ListBullet"/>
      </w:pPr>
      <w:r>
        <w:t>Audit sampling occurs monthly and is summarized in leadership dashboards.</w:t>
      </w:r>
    </w:p>
    <w:p>
      <w:pPr>
        <w:pStyle w:val="ListBullet"/>
      </w:pPr>
      <w:r>
        <w:t>Evidence artifacts are retained in SAP for at least 24 months.</w:t>
      </w:r>
    </w:p>
    <w:p>
      <w:pPr>
        <w:pStyle w:val="ListBullet"/>
      </w:pPr>
      <w:r>
        <w:t>Teams must log requests in SAP and track outcomes in Customer Data Lake for audit readiness.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Finance</w:t>
            </w:r>
          </w:p>
        </w:tc>
        <w:tc>
          <w:tcPr>
            <w:tcW w:type="dxa" w:w="2880"/>
          </w:tcPr>
          <w:p>
            <w:r>
              <w:t>Planned</w:t>
            </w:r>
          </w:p>
        </w:tc>
      </w:tr>
      <w:tr>
        <w:tc>
          <w:tcPr>
            <w:tcW w:type="dxa" w:w="2880"/>
          </w:tcPr>
          <w:p>
            <w:r>
              <w:t>Backup validation</w:t>
            </w:r>
          </w:p>
        </w:tc>
        <w:tc>
          <w:tcPr>
            <w:tcW w:type="dxa" w:w="2880"/>
          </w:tcPr>
          <w:p>
            <w:r>
              <w:t>Finance</w:t>
            </w:r>
          </w:p>
        </w:tc>
        <w:tc>
          <w:tcPr>
            <w:tcW w:type="dxa" w:w="2880"/>
          </w:tcPr>
          <w:p>
            <w:r>
              <w:t>Complete</w:t>
            </w:r>
          </w:p>
        </w:tc>
      </w:tr>
      <w:tr>
        <w:tc>
          <w:tcPr>
            <w:tcW w:type="dxa" w:w="2880"/>
          </w:tcPr>
          <w:p>
            <w:r>
              <w:t>Patch window</w:t>
            </w:r>
          </w:p>
        </w:tc>
        <w:tc>
          <w:tcPr>
            <w:tcW w:type="dxa" w:w="2880"/>
          </w:tcPr>
          <w:p>
            <w:r>
              <w:t>Product Manager</w:t>
            </w:r>
          </w:p>
        </w:tc>
        <w:tc>
          <w:tcPr>
            <w:tcW w:type="dxa" w:w="2880"/>
          </w:tcPr>
          <w:p>
            <w:r>
              <w:t>Blocked</w:t>
            </w:r>
          </w:p>
        </w:tc>
      </w:tr>
      <w:tr>
        <w:tc>
          <w:tcPr>
            <w:tcW w:type="dxa" w:w="2880"/>
          </w:tcPr>
          <w:p>
            <w:r>
              <w:t>Incident drill</w:t>
            </w:r>
          </w:p>
        </w:tc>
        <w:tc>
          <w:tcPr>
            <w:tcW w:type="dxa" w:w="2880"/>
          </w:tcPr>
          <w:p>
            <w:r>
              <w:t>Operations</w:t>
            </w:r>
          </w:p>
        </w:tc>
        <w:tc>
          <w:tcPr>
            <w:tcW w:type="dxa" w:w="2880"/>
          </w:tcPr>
          <w:p>
            <w:r>
              <w:t>Complete</w:t>
            </w:r>
          </w:p>
        </w:tc>
      </w:tr>
    </w:tbl>
    <w:p>
      <w:pPr>
        <w:pStyle w:val="Heading1"/>
      </w:pPr>
      <w:r>
        <w:t>Escalation</w:t>
      </w:r>
    </w:p>
    <w:p>
      <w:r>
        <w:t>Regional teams in EU follow the same policy with localized legal review. Risk acceptance must be documented and revalidated each quarter. The Finance team coordinates with Product Manager to maintain operational readiness. All changes require peer review and validation in the Customer Data Lake before production promotion.</w:t>
      </w:r>
    </w:p>
    <w:p>
      <w:r>
        <w:t>The process integrates with Customer Data Lake and depends on GCP for telemetry signals. This document aligns with HIPAA requirements and supports EU data residency expectations. All incidents are tagged with severity and mapped to service tiers.</w:t>
      </w:r>
    </w:p>
    <w:p>
      <w:pPr>
        <w:pStyle w:val="ListBullet"/>
      </w:pPr>
      <w:r>
        <w:t>The Finance team coordinates with Product Manager to maintain operational readiness.</w:t>
      </w:r>
    </w:p>
    <w:p>
      <w:pPr>
        <w:pStyle w:val="ListBullet"/>
      </w:pPr>
      <w:r>
        <w:t>Teams must log requests in SAP and track outcomes in Customer Data Lake for audit readiness.</w:t>
      </w:r>
    </w:p>
    <w:p>
      <w:pPr>
        <w:pStyle w:val="ListBullet"/>
      </w:pPr>
      <w:r>
        <w:t>Stakeholders include the Product Manager, service owner, and compliance lead for approvals.</w:t>
      </w:r>
    </w:p>
    <w:p>
      <w:pPr>
        <w:pStyle w:val="ListBullet"/>
      </w:pPr>
      <w:r>
        <w:t>The Finance organization uses GCP to enforce consistent service baselines.</w:t>
      </w:r>
    </w:p>
    <w:p>
      <w:pPr>
        <w:pStyle w:val="ListBullet"/>
      </w:pPr>
      <w:r>
        <w:t>We prioritize customer impact, data integrity, and regulatory alignment.</w:t>
      </w:r>
    </w:p>
    <w:p>
      <w:pPr>
        <w:pStyle w:val="ListBullet"/>
      </w:pPr>
      <w:r>
        <w:t>Teams must log requests in SAP and track outcomes in Customer Data Lake for audit readiness.</w:t>
      </w:r>
    </w:p>
    <w:p>
      <w:pPr>
        <w:pStyle w:val="Heading1"/>
      </w:pPr>
      <w:r>
        <w:t>Customer Follow-Up</w:t>
      </w:r>
    </w:p>
    <w:p>
      <w:r>
        <w:t>Escalations should follow the on-call rotation with a response target of 60 minutes. Systems are monitored via GCP and alert routing in SAP. Escalations should follow the on-call rotation with a response target of 60 minutes. Teams must log requests in SAP and track outcomes in Customer Data Lake for audit readiness.</w:t>
      </w:r>
    </w:p>
    <w:p>
      <w:r>
        <w:t>Evidence artifacts are retained in SAP for at least 24 months. Audit sampling occurs monthly and is summarized in leadership dashboards. Systems are monitored via GCP and alert routing in SAP.</w:t>
      </w:r>
    </w:p>
    <w:p>
      <w:pPr>
        <w:pStyle w:val="ListBullet"/>
      </w:pPr>
      <w:r>
        <w:t>The Finance organization uses GCP to enforce consistent service baselines.</w:t>
      </w:r>
    </w:p>
    <w:p>
      <w:pPr>
        <w:pStyle w:val="ListBullet"/>
      </w:pPr>
      <w:r>
        <w:t>Stakeholders include the Product Manager, service owner, and compliance lead for approvals.</w:t>
      </w:r>
    </w:p>
    <w:p>
      <w:pPr>
        <w:pStyle w:val="ListBullet"/>
      </w:pPr>
      <w:r>
        <w:t>Systems are monitored via GCP and alert routing in SAP.</w:t>
      </w:r>
    </w:p>
    <w:p>
      <w:pPr>
        <w:pStyle w:val="ListBullet"/>
      </w:pPr>
      <w:r>
        <w:t>All incidents are tagged with severity and mapped to service tiers.</w:t>
      </w:r>
    </w:p>
    <w:p>
      <w:pPr>
        <w:pStyle w:val="ListBullet"/>
      </w:pPr>
      <w:r>
        <w:t>The process integrates with Customer Data Lake and depends on GCP for telemetry signals.</w:t>
      </w:r>
    </w:p>
    <w:p>
      <w:pPr>
        <w:pStyle w:val="ListBullet"/>
      </w:pPr>
      <w:r>
        <w:t>All changes require peer review and validation in the Customer Data Lake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