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Finance US v3.0</w:t>
      </w:r>
    </w:p>
    <w:p>
      <w:r>
        <w:t>Department: Finance</w:t>
      </w:r>
    </w:p>
    <w:p>
      <w:r>
        <w:t>Author: Alex Nguyen</w:t>
      </w:r>
    </w:p>
    <w:p>
      <w:r>
        <w:t>Created date: 2024-03-20</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Evidence artifacts are retained in Confluence for at least 18 months. All incidents are tagged with severity and mapped to service tiers. The Finance team coordinates with Security Analyst to maintain operational readiness.</w:t>
      </w:r>
    </w:p>
    <w:p>
      <w:r>
        <w:t>This document aligns with HIPAA requirements and supports US data residency expectations. The process integrates with Endpoint Management and depends on Terraform for telemetry signals. Evidence artifacts are retained in Confluence for at least 18 months. All incidents are tagged with severity and mapped to service tiers.</w:t>
      </w:r>
    </w:p>
    <w:p>
      <w:pPr>
        <w:pStyle w:val="ListBullet"/>
      </w:pPr>
      <w:r>
        <w:t>We prioritize customer impact, data integrity, and regulatory alignment.</w:t>
      </w:r>
    </w:p>
    <w:p>
      <w:pPr>
        <w:pStyle w:val="ListBullet"/>
      </w:pPr>
      <w:r>
        <w:t>Teams must log requests in Confluence and track outcomes in Endpoint Management for audit readiness.</w:t>
      </w:r>
    </w:p>
    <w:p>
      <w:pPr>
        <w:pStyle w:val="ListBullet"/>
      </w:pPr>
      <w:r>
        <w:t>The Finance organization uses Terraform to enforce consistent service baselines.</w:t>
      </w:r>
    </w:p>
    <w:p>
      <w:pPr>
        <w:pStyle w:val="Heading1"/>
      </w:pPr>
      <w:r>
        <w:t>Triage</w:t>
      </w:r>
    </w:p>
    <w:p>
      <w:r>
        <w:t>Escalations should follow the on-call rotation with a response target of 60 minutes. Audit sampling occurs monthly and is summarized in leadership dashboards. The Finance organization uses Terraform to enforce consistent service baselines.</w:t>
      </w:r>
    </w:p>
    <w:p>
      <w:r>
        <w:t>Risk acceptance must be documented and revalidated each quarter. Stakeholders include the Security Analyst, service owner, and compliance lead for approvals. Audit sampling occurs monthly and is summarized in leadership dashboards.</w:t>
      </w:r>
    </w:p>
    <w:p>
      <w:pPr>
        <w:pStyle w:val="ListBullet"/>
      </w:pPr>
      <w:r>
        <w:t>Escalations should follow the on-call rotation with a response target of 60 minutes.</w:t>
      </w:r>
    </w:p>
    <w:p>
      <w:pPr>
        <w:pStyle w:val="ListBullet"/>
      </w:pPr>
      <w:r>
        <w:t>All changes require peer review and validation in the Endpoint Management before production promotion.</w:t>
      </w:r>
    </w:p>
    <w:p>
      <w:pPr>
        <w:pStyle w:val="ListBullet"/>
      </w:pPr>
      <w:r>
        <w:t>The Finance organization uses Terraform to enforce consistent service baselines.</w:t>
      </w:r>
    </w:p>
    <w:p>
      <w:pPr>
        <w:pStyle w:val="ListBullet"/>
      </w:pPr>
      <w:r>
        <w:t>Teams must log requests in Confluence and track outcomes in Endpoint Management for audit readiness.</w:t>
      </w:r>
    </w:p>
    <w:p>
      <w:pPr>
        <w:pStyle w:val="ListBullet"/>
      </w:pPr>
      <w:r>
        <w:t>Evidence artifacts are retained in Confluence for at least 18 months.</w:t>
      </w:r>
    </w:p>
    <w:p>
      <w:pPr>
        <w:pStyle w:val="ListBullet"/>
      </w:pPr>
      <w:r>
        <w:t>This document aligns with HIPAA requirements and supports US data residency expectations.</w:t>
      </w:r>
    </w:p>
    <w:p>
      <w:pPr>
        <w:pStyle w:val="Heading1"/>
      </w:pPr>
      <w:r>
        <w:t>Resolution</w:t>
      </w:r>
    </w:p>
    <w:p>
      <w:r>
        <w:t>Stakeholders include the Security Analyst, service owner, and compliance lead for approvals. Escalations should follow the on-call rotation with a response target of 60 minutes.</w:t>
      </w:r>
    </w:p>
    <w:p>
      <w:r>
        <w:t>Escalations should follow the on-call rotation with a response target of 60 minutes. All changes require peer review and validation in the Endpoint Management before production promotion.</w:t>
      </w:r>
    </w:p>
    <w:p>
      <w:pPr>
        <w:pStyle w:val="ListBullet"/>
      </w:pPr>
      <w:r>
        <w:t>Teams must log requests in Confluence and track outcomes in Endpoint Management for audit readiness.</w:t>
      </w:r>
    </w:p>
    <w:p>
      <w:pPr>
        <w:pStyle w:val="ListBullet"/>
      </w:pPr>
      <w:r>
        <w:t>This document aligns with HIPAA requirements and supports US data residency expectations.</w:t>
      </w:r>
    </w:p>
    <w:p>
      <w:pPr>
        <w:pStyle w:val="ListBullet"/>
      </w:pPr>
      <w:r>
        <w:t>The Finance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r>
        <w:tc>
          <w:tcPr>
            <w:tcW w:type="dxa" w:w="2880"/>
          </w:tcPr>
          <w:p>
            <w:r>
              <w:t>Vendor check</w:t>
            </w:r>
          </w:p>
        </w:tc>
        <w:tc>
          <w:tcPr>
            <w:tcW w:type="dxa" w:w="2880"/>
          </w:tcPr>
          <w:p>
            <w:r>
              <w:t>Security</w:t>
            </w:r>
          </w:p>
        </w:tc>
        <w:tc>
          <w:tcPr>
            <w:tcW w:type="dxa" w:w="2880"/>
          </w:tcPr>
          <w:p>
            <w:r>
              <w:t>Complete</w:t>
            </w:r>
          </w:p>
        </w:tc>
      </w:tr>
    </w:tbl>
    <w:p>
      <w:pPr>
        <w:pStyle w:val="Heading1"/>
      </w:pPr>
      <w:r>
        <w:t>Escalation</w:t>
      </w:r>
    </w:p>
    <w:p>
      <w:r>
        <w:t>This document aligns with HIPAA requirements and supports US data residency expectations. All incidents are tagged with severity and mapped to service tiers. Systems are monitored via Terraform and alert routing in Confluence.</w:t>
      </w:r>
    </w:p>
    <w:p>
      <w:r>
        <w:t>This document aligns with HIPAA requirements and supports US data residency expectations. Stakeholders include the Security Analyst, service owner, and compliance lead for approvals. Teams must log requests in Confluence and track outcomes in Endpoint Management for audit readiness.</w:t>
      </w:r>
    </w:p>
    <w:p>
      <w:pPr>
        <w:pStyle w:val="ListBullet"/>
      </w:pPr>
      <w:r>
        <w:t>Evidence artifacts are retained in Confluence for at least 18 months.</w:t>
      </w:r>
    </w:p>
    <w:p>
      <w:pPr>
        <w:pStyle w:val="ListBullet"/>
      </w:pPr>
      <w:r>
        <w:t>Regional teams in US follow the same policy with localized legal review.</w:t>
      </w:r>
    </w:p>
    <w:p>
      <w:pPr>
        <w:pStyle w:val="ListBullet"/>
      </w:pPr>
      <w:r>
        <w:t>Escalations should follow the on-call rotation with a response target of 60 minutes.</w:t>
      </w:r>
    </w:p>
    <w:p>
      <w:pPr>
        <w:pStyle w:val="Heading1"/>
      </w:pPr>
      <w:r>
        <w:t>Customer Follow-Up</w:t>
      </w:r>
    </w:p>
    <w:p>
      <w:r>
        <w:t>The Finance team coordinates with Security Analyst to maintain operational readiness. Systems are monitored via Terraform and alert routing in Confluence. Escalations should follow the on-call rotation with a response target of 60 minutes. All changes require peer review and validation in the Endpoint Management before production promotion.</w:t>
      </w:r>
    </w:p>
    <w:p>
      <w:r>
        <w:t>Evidence artifacts are retained in Confluence for at least 18 months. This document aligns with HIPAA requirements and supports US data residency expectations. Stakeholders include the Security Analyst,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ListBullet"/>
      </w:pPr>
      <w:r>
        <w:t>Stakeholders include the Security Analyst, service owner, and compliance lead for approvals.</w:t>
      </w:r>
    </w:p>
    <w:p>
      <w:pPr>
        <w:pStyle w:val="ListBullet"/>
      </w:pPr>
      <w:r>
        <w:t>Evidence artifacts are retained in Confluence for at least 18 months.</w:t>
      </w:r>
    </w:p>
    <w:p>
      <w:pPr>
        <w:pStyle w:val="ListBullet"/>
      </w:pPr>
      <w:r>
        <w:t>Evidence artifacts are retained in Confluence for at least 18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