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Information Technology APAC v2.1</w:t>
      </w:r>
    </w:p>
    <w:p>
      <w:r>
        <w:t>Department: Information Technology</w:t>
      </w:r>
    </w:p>
    <w:p>
      <w:r>
        <w:t>Author: Alex Lee</w:t>
      </w:r>
    </w:p>
    <w:p>
      <w:r>
        <w:t>Created date: 2024-12-26</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We prioritize customer impact, data integrity, and regulatory alignment. Evidence artifacts are retained in Google Workspace for at least 24 months. Regional teams in APAC follow the same policy with localized legal review. Audit sampling occurs monthly and is summarized in leadership dashboards.</w:t>
      </w:r>
    </w:p>
    <w:p>
      <w:pPr>
        <w:pStyle w:val="ListBullet"/>
      </w:pPr>
      <w:r>
        <w:t>Teams must log requests in Google Workspace and track outcomes in Customer Data Lake for audit readiness.</w:t>
      </w:r>
    </w:p>
    <w:p>
      <w:pPr>
        <w:pStyle w:val="ListBullet"/>
      </w:pPr>
      <w:r>
        <w:t>The Information Technology organization uses Azure to enforce consistent service baselines.</w:t>
      </w:r>
    </w:p>
    <w:p>
      <w:pPr>
        <w:pStyle w:val="ListBullet"/>
      </w:pPr>
      <w:r>
        <w:t>Regional teams in APAC follow the same policy with localized legal review.</w:t>
      </w:r>
    </w:p>
    <w:p>
      <w:pPr>
        <w:pStyle w:val="Heading1"/>
      </w:pPr>
      <w:r>
        <w:t>Triage</w:t>
      </w:r>
    </w:p>
    <w:p>
      <w:r>
        <w:t>This document aligns with SOC 2 requirements and supports APAC data residency expectations. Systems are monitored via Azure and alert routing in Google Workspace.</w:t>
      </w:r>
    </w:p>
    <w:p>
      <w:r>
        <w:t>The Information Technology team coordinates with Support Specialist to maintain operational readiness. Teams must log requests in Google Workspace and track outcomes in Customer Data Lake for audit readiness. We prioritize customer impact, data integrity, and regulatory alignment.</w:t>
      </w:r>
    </w:p>
    <w:p>
      <w:pPr>
        <w:pStyle w:val="ListBullet"/>
      </w:pPr>
      <w:r>
        <w:t>Escalations should follow the on-call rotation with a response target of 15 minutes.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The Information Technology organization uses Azure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Incident drill</w:t>
            </w:r>
          </w:p>
        </w:tc>
        <w:tc>
          <w:tcPr>
            <w:tcW w:type="dxa" w:w="2880"/>
          </w:tcPr>
          <w:p>
            <w:r>
              <w:t>Support Specialist</w:t>
            </w:r>
          </w:p>
        </w:tc>
        <w:tc>
          <w:tcPr>
            <w:tcW w:type="dxa" w:w="2880"/>
          </w:tcPr>
          <w:p>
            <w:r>
              <w:t>Blocked</w:t>
            </w:r>
          </w:p>
        </w:tc>
      </w:tr>
    </w:tbl>
    <w:p>
      <w:pPr>
        <w:pStyle w:val="Heading1"/>
      </w:pPr>
      <w:r>
        <w:t>Resolution</w:t>
      </w:r>
    </w:p>
    <w:p>
      <w:r>
        <w:t>This document aligns with SOC 2 requirements and supports APAC data residency expectations. All incidents are tagged with severity and mapped to service tiers. Stakeholders include the Support Specialist, service owner, and compliance lead for approvals.</w:t>
      </w:r>
    </w:p>
    <w:p>
      <w:pPr>
        <w:pStyle w:val="ListBullet"/>
      </w:pPr>
      <w:r>
        <w:t>Systems are monitored via Azure and alert routing in Google Workspace.</w:t>
      </w:r>
    </w:p>
    <w:p>
      <w:pPr>
        <w:pStyle w:val="ListBullet"/>
      </w:pPr>
      <w:r>
        <w:t>This document aligns with SOC 2 requirements and supports APAC data residency expectations.</w:t>
      </w:r>
    </w:p>
    <w:p>
      <w:pPr>
        <w:pStyle w:val="ListBullet"/>
      </w:pPr>
      <w:r>
        <w:t>Evidence artifacts are retained in Google Workspace for at least 24 months.</w:t>
      </w:r>
    </w:p>
    <w:p>
      <w:pPr>
        <w:pStyle w:val="ListBullet"/>
      </w:pPr>
      <w:r>
        <w:t>Stakeholders include the Support Specialist, service owner, and compliance lead for approvals.</w:t>
      </w:r>
    </w:p>
    <w:p>
      <w:pPr>
        <w:pStyle w:val="Heading1"/>
      </w:pPr>
      <w:r>
        <w:t>Escalation</w:t>
      </w:r>
    </w:p>
    <w:p>
      <w:r>
        <w:t>Stakeholders include the Support Specialist, service owner, and compliance lead for approvals. We prioritize customer impact, data integrity, and regulatory alignment. We prioritize customer impact, data integrity, and regulatory alignment. Stakeholders include the Support Specialist, service owner, and compliance lead for approvals.</w:t>
      </w:r>
    </w:p>
    <w:p>
      <w:r>
        <w:t>Risk acceptance must be documented and revalidated each quarter. This document aligns with SOC 2 requirements and supports APAC data residency expectations. Escalations should follow the on-call rotation with a response target of 15 minutes. This document aligns with SOC 2 requirements and supports APAC data residency expectations.</w:t>
      </w:r>
    </w:p>
    <w:p>
      <w:pPr>
        <w:pStyle w:val="ListBullet"/>
      </w:pPr>
      <w:r>
        <w:t>Evidence artifacts are retained in Google Workspace for at least 24 months.</w:t>
      </w:r>
    </w:p>
    <w:p>
      <w:pPr>
        <w:pStyle w:val="ListBullet"/>
      </w:pPr>
      <w:r>
        <w:t>The process integrates with Customer Data Lake and depends on Azure for telemetry signals.</w:t>
      </w:r>
    </w:p>
    <w:p>
      <w:pPr>
        <w:pStyle w:val="ListBullet"/>
      </w:pPr>
      <w:r>
        <w:t>Systems are monitored via Azure and alert routing in Google Workspace.</w:t>
      </w:r>
    </w:p>
    <w:p>
      <w:pPr>
        <w:pStyle w:val="ListBullet"/>
      </w:pPr>
      <w:r>
        <w:t>The Information Technology organization uses Azure to enforce consistent service baselines.</w:t>
      </w:r>
    </w:p>
    <w:p>
      <w:pPr>
        <w:pStyle w:val="ListBullet"/>
      </w:pPr>
      <w:r>
        <w:t>Systems are monitored via Azure and alert routing in Google Workspace.</w:t>
      </w:r>
    </w:p>
    <w:p>
      <w:pPr>
        <w:pStyle w:val="Heading1"/>
      </w:pPr>
      <w:r>
        <w:t>Customer Follow-Up</w:t>
      </w:r>
    </w:p>
    <w:p>
      <w:r>
        <w:t>Risk acceptance must be documented and revalidated each quarter. The Information Technology organization uses Azure to enforce consistent service baselines.</w:t>
      </w:r>
    </w:p>
    <w:p>
      <w:pPr>
        <w:pStyle w:val="ListBullet"/>
      </w:pPr>
      <w:r>
        <w:t>Risk acceptance must be documented and revalidated each quarter.</w:t>
      </w:r>
    </w:p>
    <w:p>
      <w:pPr>
        <w:pStyle w:val="ListBullet"/>
      </w:pPr>
      <w:r>
        <w:t>Systems are monitored via Azure and alert routing in Google Workspace.</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