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Information Technology APAC v2.1</w:t>
      </w:r>
    </w:p>
    <w:p>
      <w:r>
        <w:t>Department: Information Technology</w:t>
      </w:r>
    </w:p>
    <w:p>
      <w:r>
        <w:t>Author: Alex Smith</w:t>
      </w:r>
    </w:p>
    <w:p>
      <w:r>
        <w:t>Created date: 2025-04-17</w:t>
      </w:r>
    </w:p>
    <w:p>
      <w:r>
        <w:t>Region: APAC</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Evidence artifacts are retained in Workday for at least 18 months. Risk acceptance must be documented and revalidated each quarter.</w:t>
      </w:r>
    </w:p>
    <w:p>
      <w:pPr>
        <w:pStyle w:val="ListBullet"/>
      </w:pPr>
      <w:r>
        <w:t>Teams must log requests in Workday and track outcomes in Payment Processing Service for audit readiness.</w:t>
      </w:r>
    </w:p>
    <w:p>
      <w:pPr>
        <w:pStyle w:val="ListBullet"/>
      </w:pPr>
      <w:r>
        <w:t>All changes require peer review and validation in the Payment Processing Service before production promotion.</w:t>
      </w:r>
    </w:p>
    <w:p>
      <w:pPr>
        <w:pStyle w:val="ListBullet"/>
      </w:pPr>
      <w:r>
        <w:t>The Information Technology organization uses Kubernetes to enforce consistent service baselines.</w:t>
      </w:r>
    </w:p>
    <w:p>
      <w:pPr>
        <w:pStyle w:val="Heading1"/>
      </w:pPr>
      <w:r>
        <w:t>Triage</w:t>
      </w:r>
    </w:p>
    <w:p>
      <w:r>
        <w:t>Teams must log requests in Workday and track outcomes in Payment Processing Service for audit readiness. Risk acceptance must be documented and revalidated each quarter. Escalations should follow the on-call rotation with a response target of 45 minutes. Escalations should follow the on-call rotation with a response target of 45 minutes.</w:t>
      </w:r>
    </w:p>
    <w:p>
      <w:r>
        <w:t>All changes require peer review and validation in the Payment Processing Service before production promotion. All incidents are tagged with severity and mapped to service tiers. Stakeholders include the Systems Engineer, service owner, and compliance lead for approvals. Teams must log requests in Workday and track outcomes in Payment Processing Service for audit readiness.</w:t>
      </w:r>
    </w:p>
    <w:p>
      <w:pPr>
        <w:pStyle w:val="ListBullet"/>
      </w:pPr>
      <w:r>
        <w:t>Systems are monitored via Kubernetes and alert routing in Workday.</w:t>
      </w:r>
    </w:p>
    <w:p>
      <w:pPr>
        <w:pStyle w:val="ListBullet"/>
      </w:pPr>
      <w:r>
        <w:t>All incidents are tagged with severity and mapped to service tiers.</w:t>
      </w:r>
    </w:p>
    <w:p>
      <w:pPr>
        <w:pStyle w:val="ListBullet"/>
      </w:pPr>
      <w:r>
        <w:t>This document aligns with SOC 2 requirements and supports APAC data residency expectations.</w:t>
      </w:r>
    </w:p>
    <w:p>
      <w:pPr>
        <w:pStyle w:val="ListBullet"/>
      </w:pPr>
      <w:r>
        <w:t>Stakeholders include the Systems Engineer, service owner, and compliance lead for approvals.</w:t>
      </w:r>
    </w:p>
    <w:p>
      <w:pPr>
        <w:pStyle w:val="Heading1"/>
      </w:pPr>
      <w:r>
        <w:t>Resolution</w:t>
      </w:r>
    </w:p>
    <w:p>
      <w:r>
        <w:t>Regional teams in APAC follow the same policy with localized legal review. Audit sampling occurs monthly and is summarized in leadership dashboards.</w:t>
      </w:r>
    </w:p>
    <w:p>
      <w:r>
        <w:t>Regional teams in APAC follow the same policy with localized legal review. All incidents are tagged with severity and mapped to service tiers.</w:t>
      </w:r>
    </w:p>
    <w:p>
      <w:pPr>
        <w:pStyle w:val="ListBullet"/>
      </w:pPr>
      <w:r>
        <w:t>Systems are monitored via Kubernetes and alert routing in Workday.</w:t>
      </w:r>
    </w:p>
    <w:p>
      <w:pPr>
        <w:pStyle w:val="ListBullet"/>
      </w:pPr>
      <w:r>
        <w:t>Systems are monitored via Kubernetes and alert routing in Workday.</w:t>
      </w:r>
    </w:p>
    <w:p>
      <w:pPr>
        <w:pStyle w:val="ListBullet"/>
      </w:pPr>
      <w:r>
        <w:t>All incidents are tagged with severity and mapped to service tiers.</w:t>
      </w:r>
    </w:p>
    <w:p>
      <w:pPr>
        <w:pStyle w:val="ListBullet"/>
      </w:pPr>
      <w:r>
        <w:t>Systems are monitored via Kubernetes and alert routing in Workday.</w:t>
      </w:r>
    </w:p>
    <w:p>
      <w:pPr>
        <w:pStyle w:val="Heading1"/>
      </w:pPr>
      <w:r>
        <w:t>Escalation</w:t>
      </w:r>
    </w:p>
    <w:p>
      <w:r>
        <w:t>Evidence artifacts are retained in Workday for at least 18 months. The Information Technology team coordinates with Systems Engineer to maintain operational readiness. All changes require peer review and validation in the Payment Processing Service before production promotion. Evidence artifacts are retained in Workday for at least 18 months.</w:t>
      </w:r>
    </w:p>
    <w:p>
      <w:r>
        <w:t>The Information Technology organization uses Kubernetes to enforce consistent service baselines. The Information Technology organization uses Kubernetes to enforce consistent service baselines.</w:t>
      </w:r>
    </w:p>
    <w:p>
      <w:pPr>
        <w:pStyle w:val="ListBullet"/>
      </w:pPr>
      <w:r>
        <w:t>This document aligns with SOC 2 requirements and supports APAC data residency expectations.</w:t>
      </w:r>
    </w:p>
    <w:p>
      <w:pPr>
        <w:pStyle w:val="ListBullet"/>
      </w:pPr>
      <w:r>
        <w:t>Risk acceptance must be documented and revalidated each quarter.</w:t>
      </w:r>
    </w:p>
    <w:p>
      <w:pPr>
        <w:pStyle w:val="ListBullet"/>
      </w:pPr>
      <w:r>
        <w:t>Escalations should follow the on-call rotation with a response target of 45 minutes.</w:t>
      </w:r>
    </w:p>
    <w:p>
      <w:pPr>
        <w:pStyle w:val="Heading1"/>
      </w:pPr>
      <w:r>
        <w:t>Customer Follow-Up</w:t>
      </w:r>
    </w:p>
    <w:p>
      <w:r>
        <w:t>The Information Technology organization uses Kubernetes to enforce consistent service baselines. The Information Technology team coordinates with Systems Engineer to maintain operational readiness.</w:t>
      </w:r>
    </w:p>
    <w:p>
      <w:r>
        <w:t>Stakeholders include the Systems Engineer, service owner, and compliance lead for approvals. Audit sampling occurs monthly and is summarized in leadership dashboards. All incidents are tagged with severity and mapped to service tiers. Regional teams in APAC follow the same policy with localized legal review.</w:t>
      </w:r>
    </w:p>
    <w:p>
      <w:pPr>
        <w:pStyle w:val="ListBullet"/>
      </w:pPr>
      <w:r>
        <w:t>Audit sampling occurs monthly and is summarized in leadership dashboards.</w:t>
      </w:r>
    </w:p>
    <w:p>
      <w:pPr>
        <w:pStyle w:val="ListBullet"/>
      </w:pPr>
      <w:r>
        <w:t>The Information Technology organization uses Kubernetes to enforce consistent service baselines.</w:t>
      </w:r>
    </w:p>
    <w:p>
      <w:pPr>
        <w:pStyle w:val="ListBullet"/>
      </w:pPr>
      <w:r>
        <w:t>Stakeholders include the Systems Engineer, service owner, and compliance lead for approvals.</w:t>
      </w:r>
    </w:p>
    <w:p>
      <w:pPr>
        <w:pStyle w:val="ListBullet"/>
      </w:pPr>
      <w:r>
        <w:t>The process integrates with Payment Processing Service and depends on Kubernetes for telemetry signals.</w:t>
      </w:r>
    </w:p>
    <w:p>
      <w:pPr>
        <w:pStyle w:val="ListBullet"/>
      </w:pPr>
      <w:r>
        <w:t>The Information Technology organization uses Kubernetes to enforce consistent service baselines.</w:t>
      </w:r>
    </w:p>
    <w:p>
      <w:pPr>
        <w:pStyle w:val="ListBullet"/>
      </w:pPr>
      <w:r>
        <w:t>Escalations should follow the on-call rotation with a response target of 45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