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Customer Support Procedures - Information Technology EU v1.2</w:t>
      </w:r>
    </w:p>
    <w:p>
      <w:r>
        <w:t>Department: Information Technology</w:t>
      </w:r>
    </w:p>
    <w:p>
      <w:r>
        <w:t>Author: Casey Kim</w:t>
      </w:r>
    </w:p>
    <w:p>
      <w:r>
        <w:t>Created date: 2024-04-20</w:t>
      </w:r>
    </w:p>
    <w:p>
      <w:r>
        <w:t>Region: EU</w:t>
      </w:r>
    </w:p>
    <w:p>
      <w:r>
        <w:t>Version: 1.2</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Intake</w:t>
      </w:r>
    </w:p>
    <w:p>
      <w:r>
        <w:t>All changes require peer review and validation in the Identity Access Gateway before production promotion. The Information Technology team coordinates with Systems Engineer to maintain operational readiness. Regional teams in EU follow the same policy with localized legal review. Teams must log requests in Slack and track outcomes in Identity Access Gateway for audit readiness.</w:t>
      </w:r>
    </w:p>
    <w:p>
      <w:r>
        <w:t>Teams must log requests in Slack and track outcomes in Identity Access Gateway for audit readiness. All incidents are tagged with severity and mapped to service tiers. Risk acceptance must be documented and revalidated each quarter.</w:t>
      </w:r>
    </w:p>
    <w:p>
      <w:pPr>
        <w:pStyle w:val="ListBullet"/>
      </w:pPr>
      <w:r>
        <w:t>Audit sampling occurs monthly and is summarized in leadership dashboards.</w:t>
      </w:r>
    </w:p>
    <w:p>
      <w:pPr>
        <w:pStyle w:val="ListBullet"/>
      </w:pPr>
      <w:r>
        <w:t>Stakeholders include the Systems Engineer, service owner, and compliance lead for approvals.</w:t>
      </w:r>
    </w:p>
    <w:p>
      <w:pPr>
        <w:pStyle w:val="ListBullet"/>
      </w:pPr>
      <w:r>
        <w:t>All changes require peer review and validation in the Identity Access Gateway before production promotion.</w:t>
      </w:r>
    </w:p>
    <w:p>
      <w:pPr>
        <w:pStyle w:val="Heading1"/>
      </w:pPr>
      <w:r>
        <w:t>Triage</w:t>
      </w:r>
    </w:p>
    <w:p>
      <w:r>
        <w:t>Stakeholders include the Systems Engineer, service owner, and compliance lead for approvals. Regional teams in EU follow the same policy with localized legal review. This document aligns with GDPR requirements and supports EU data residency expectations. Teams must log requests in Slack and track outcomes in Identity Access Gateway for audit readiness.</w:t>
      </w:r>
    </w:p>
    <w:p>
      <w:pPr>
        <w:pStyle w:val="ListBullet"/>
      </w:pPr>
      <w:r>
        <w:t>The Information Technology organization uses Azure AD to enforce consistent service baselines.</w:t>
      </w:r>
    </w:p>
    <w:p>
      <w:pPr>
        <w:pStyle w:val="ListBullet"/>
      </w:pPr>
      <w:r>
        <w:t>Audit sampling occurs monthly and is summarized in leadership dashboards.</w:t>
      </w:r>
    </w:p>
    <w:p>
      <w:pPr>
        <w:pStyle w:val="ListBullet"/>
      </w:pPr>
      <w:r>
        <w:t>All incidents are tagged with severity and mapped to service tiers.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Systems Engineer</w:t>
            </w:r>
          </w:p>
        </w:tc>
        <w:tc>
          <w:tcPr>
            <w:tcW w:type="dxa" w:w="2880"/>
          </w:tcPr>
          <w:p>
            <w:r>
              <w:t>Blocked</w:t>
            </w:r>
          </w:p>
        </w:tc>
      </w:tr>
      <w:tr>
        <w:tc>
          <w:tcPr>
            <w:tcW w:type="dxa" w:w="2880"/>
          </w:tcPr>
          <w:p>
            <w:r>
              <w:t>Patch window</w:t>
            </w:r>
          </w:p>
        </w:tc>
        <w:tc>
          <w:tcPr>
            <w:tcW w:type="dxa" w:w="2880"/>
          </w:tcPr>
          <w:p>
            <w:r>
              <w:t>Information Technology</w:t>
            </w:r>
          </w:p>
        </w:tc>
        <w:tc>
          <w:tcPr>
            <w:tcW w:type="dxa" w:w="2880"/>
          </w:tcPr>
          <w:p>
            <w:r>
              <w:t>Blocked</w:t>
            </w:r>
          </w:p>
        </w:tc>
      </w:tr>
    </w:tbl>
    <w:p>
      <w:pPr>
        <w:pStyle w:val="Heading1"/>
      </w:pPr>
      <w:r>
        <w:t>Resolution</w:t>
      </w:r>
    </w:p>
    <w:p>
      <w:r>
        <w:t>All incidents are tagged with severity and mapped to service tiers. Escalations should follow the on-call rotation with a response target of 60 minutes. The Information Technology organization uses Azure AD to enforce consistent service baselines.</w:t>
      </w:r>
    </w:p>
    <w:p>
      <w:r>
        <w:t>The Information Technology organization uses Azure AD to enforce consistent service baselines. The Information Technology organization uses Azure AD to enforce consistent service baselines. The Information Technology team coordinates with Systems Engineer to maintain operational readiness.</w:t>
      </w:r>
    </w:p>
    <w:p>
      <w:pPr>
        <w:pStyle w:val="ListBullet"/>
      </w:pPr>
      <w:r>
        <w:t>Audit sampling occurs monthly and is summarized in leadership dashboards.</w:t>
      </w:r>
    </w:p>
    <w:p>
      <w:pPr>
        <w:pStyle w:val="ListBullet"/>
      </w:pPr>
      <w:r>
        <w:t>This document aligns with GDPR requirements and supports EU data residency expectations.</w:t>
      </w:r>
    </w:p>
    <w:p>
      <w:pPr>
        <w:pStyle w:val="ListBullet"/>
      </w:pPr>
      <w:r>
        <w:t>We prioritize customer impact, data integrity, and regulatory alignment.</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Systems Engineer</w:t>
            </w:r>
          </w:p>
        </w:tc>
        <w:tc>
          <w:tcPr>
            <w:tcW w:type="dxa" w:w="2880"/>
          </w:tcPr>
          <w:p>
            <w:r>
              <w:t>Planned</w:t>
            </w:r>
          </w:p>
        </w:tc>
      </w:tr>
      <w:tr>
        <w:tc>
          <w:tcPr>
            <w:tcW w:type="dxa" w:w="2880"/>
          </w:tcPr>
          <w:p>
            <w:r>
              <w:t>Vendor check</w:t>
            </w:r>
          </w:p>
        </w:tc>
        <w:tc>
          <w:tcPr>
            <w:tcW w:type="dxa" w:w="2880"/>
          </w:tcPr>
          <w:p>
            <w:r>
              <w:t>Information Technology</w:t>
            </w:r>
          </w:p>
        </w:tc>
        <w:tc>
          <w:tcPr>
            <w:tcW w:type="dxa" w:w="2880"/>
          </w:tcPr>
          <w:p>
            <w:r>
              <w:t>Planned</w:t>
            </w:r>
          </w:p>
        </w:tc>
      </w:tr>
      <w:tr>
        <w:tc>
          <w:tcPr>
            <w:tcW w:type="dxa" w:w="2880"/>
          </w:tcPr>
          <w:p>
            <w:r>
              <w:t>Patch window</w:t>
            </w:r>
          </w:p>
        </w:tc>
        <w:tc>
          <w:tcPr>
            <w:tcW w:type="dxa" w:w="2880"/>
          </w:tcPr>
          <w:p>
            <w:r>
              <w:t>Systems Engineer</w:t>
            </w:r>
          </w:p>
        </w:tc>
        <w:tc>
          <w:tcPr>
            <w:tcW w:type="dxa" w:w="2880"/>
          </w:tcPr>
          <w:p>
            <w:r>
              <w:t>Planned</w:t>
            </w:r>
          </w:p>
        </w:tc>
      </w:tr>
    </w:tbl>
    <w:p>
      <w:pPr>
        <w:pStyle w:val="Heading1"/>
      </w:pPr>
      <w:r>
        <w:t>Escalation</w:t>
      </w:r>
    </w:p>
    <w:p>
      <w:r>
        <w:t>Escalations should follow the on-call rotation with a response target of 60 minutes. We prioritize customer impact, data integrity, and regulatory alignment. All changes require peer review and validation in the Identity Access Gateway before production promotion.</w:t>
      </w:r>
    </w:p>
    <w:p>
      <w:r>
        <w:t>Systems are monitored via Azure AD and alert routing in Slack. The Information Technology organization uses Azure AD to enforce consistent service baselines. All incidents are tagged with severity and mapped to service tiers.</w:t>
      </w:r>
    </w:p>
    <w:p>
      <w:pPr>
        <w:pStyle w:val="ListBullet"/>
      </w:pPr>
      <w:r>
        <w:t>Regional teams in EU follow the same policy with localized legal review.</w:t>
      </w:r>
    </w:p>
    <w:p>
      <w:pPr>
        <w:pStyle w:val="ListBullet"/>
      </w:pPr>
      <w:r>
        <w:t>The process integrates with Identity Access Gateway and depends on Azure AD for telemetry signals.</w:t>
      </w:r>
    </w:p>
    <w:p>
      <w:pPr>
        <w:pStyle w:val="ListBullet"/>
      </w:pPr>
      <w:r>
        <w:t>The Information Technology team coordinates with Systems Engineer to maintain operational readiness.</w:t>
      </w:r>
    </w:p>
    <w:p>
      <w:pPr>
        <w:pStyle w:val="ListBullet"/>
      </w:pPr>
      <w:r>
        <w:t>The Information Technology team coordinates with Systems Engineer to maintain operational readiness.</w:t>
      </w:r>
    </w:p>
    <w:p>
      <w:pPr>
        <w:pStyle w:val="Heading1"/>
      </w:pPr>
      <w:r>
        <w:t>Customer Follow-Up</w:t>
      </w:r>
    </w:p>
    <w:p>
      <w:r>
        <w:t>The Information Technology team coordinates with Systems Engineer to maintain operational readiness. Systems are monitored via Azure AD and alert routing in Slack.</w:t>
      </w:r>
    </w:p>
    <w:p>
      <w:pPr>
        <w:pStyle w:val="ListBullet"/>
      </w:pPr>
      <w:r>
        <w:t>Teams must log requests in Slack and track outcomes in Identity Access Gateway for audit readiness.</w:t>
      </w:r>
    </w:p>
    <w:p>
      <w:pPr>
        <w:pStyle w:val="ListBullet"/>
      </w:pPr>
      <w:r>
        <w:t>All incidents are tagged with severity and mapped to service tiers.</w:t>
      </w:r>
    </w:p>
    <w:p>
      <w:pPr>
        <w:pStyle w:val="ListBullet"/>
      </w:pPr>
      <w:r>
        <w:t>The Information Technology organization uses Azure AD to enforce consistent service baselines.</w:t>
      </w:r>
    </w:p>
    <w:p>
      <w:pPr>
        <w:pStyle w:val="ListBullet"/>
      </w:pPr>
      <w:r>
        <w:t>This document aligns with GDPR requirements and supports EU data residency expectations.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