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Legal EU v1.1</w:t>
      </w:r>
    </w:p>
    <w:p>
      <w:r>
        <w:t>Department: Legal</w:t>
      </w:r>
    </w:p>
    <w:p>
      <w:r>
        <w:t>Author: Jordan Smith</w:t>
      </w:r>
    </w:p>
    <w:p>
      <w:r>
        <w:t>Created date: 2025-04-27</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Systems are monitored via Azure and alert routing in Slack. The Legal team coordinates with Platform Engineer to maintain operational readiness. All incidents are tagged with severity and mapped to service tiers. Evidence artifacts are retained in Slack for at least 18 months.</w:t>
      </w:r>
    </w:p>
    <w:p>
      <w:r>
        <w:t>All incidents are tagged with severity and mapped to service tiers. This document aligns with SOX requirements and supports EU data residency expectations.</w:t>
      </w:r>
    </w:p>
    <w:p>
      <w:pPr>
        <w:pStyle w:val="ListBullet"/>
      </w:pPr>
      <w:r>
        <w:t>Stakeholders include the Platform Engineer, service owner, and compliance lead for approvals.</w:t>
      </w:r>
    </w:p>
    <w:p>
      <w:pPr>
        <w:pStyle w:val="ListBullet"/>
      </w:pPr>
      <w:r>
        <w:t>Systems are monitored via Azure and alert routing in Slack.</w:t>
      </w:r>
    </w:p>
    <w:p>
      <w:pPr>
        <w:pStyle w:val="ListBullet"/>
      </w:pPr>
      <w:r>
        <w:t>We prioritize customer impact, data integrity, and regulatory alignment.</w:t>
      </w:r>
    </w:p>
    <w:p>
      <w:pPr>
        <w:pStyle w:val="ListBullet"/>
      </w:pPr>
      <w:r>
        <w:t>The Legal team coordinates with Platform Engineer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Vendor check</w:t>
            </w:r>
          </w:p>
        </w:tc>
        <w:tc>
          <w:tcPr>
            <w:tcW w:type="dxa" w:w="2880"/>
          </w:tcPr>
          <w:p>
            <w:r>
              <w:t>Platform Engineer</w:t>
            </w:r>
          </w:p>
        </w:tc>
        <w:tc>
          <w:tcPr>
            <w:tcW w:type="dxa" w:w="2880"/>
          </w:tcPr>
          <w:p>
            <w:r>
              <w:t>Complete</w:t>
            </w:r>
          </w:p>
        </w:tc>
      </w:tr>
      <w:tr>
        <w:tc>
          <w:tcPr>
            <w:tcW w:type="dxa" w:w="2880"/>
          </w:tcPr>
          <w:p>
            <w:r>
              <w:t>Vendor check</w:t>
            </w:r>
          </w:p>
        </w:tc>
        <w:tc>
          <w:tcPr>
            <w:tcW w:type="dxa" w:w="2880"/>
          </w:tcPr>
          <w:p>
            <w:r>
              <w:t>Security</w:t>
            </w:r>
          </w:p>
        </w:tc>
        <w:tc>
          <w:tcPr>
            <w:tcW w:type="dxa" w:w="2880"/>
          </w:tcPr>
          <w:p>
            <w:r>
              <w:t>Complete</w:t>
            </w:r>
          </w:p>
        </w:tc>
      </w:tr>
      <w:tr>
        <w:tc>
          <w:tcPr>
            <w:tcW w:type="dxa" w:w="2880"/>
          </w:tcPr>
          <w:p>
            <w:r>
              <w:t>Vendor check</w:t>
            </w:r>
          </w:p>
        </w:tc>
        <w:tc>
          <w:tcPr>
            <w:tcW w:type="dxa" w:w="2880"/>
          </w:tcPr>
          <w:p>
            <w:r>
              <w:t>Platform Engineer</w:t>
            </w:r>
          </w:p>
        </w:tc>
        <w:tc>
          <w:tcPr>
            <w:tcW w:type="dxa" w:w="2880"/>
          </w:tcPr>
          <w:p>
            <w:r>
              <w:t>In Progress</w:t>
            </w:r>
          </w:p>
        </w:tc>
      </w:tr>
    </w:tbl>
    <w:p>
      <w:pPr>
        <w:pStyle w:val="Heading1"/>
      </w:pPr>
      <w:r>
        <w:t>Triage</w:t>
      </w:r>
    </w:p>
    <w:p>
      <w:r>
        <w:t>Stakeholders include the Platform Engineer, service owner, and compliance lead for approvals. Escalations should follow the on-call rotation with a response target of 15 minutes. Regional teams in EU follow the same policy with localized legal review.</w:t>
      </w:r>
    </w:p>
    <w:p>
      <w:pPr>
        <w:pStyle w:val="ListBullet"/>
      </w:pPr>
      <w:r>
        <w:t>Regional teams in EU follow the same policy with localized legal review.</w:t>
      </w:r>
    </w:p>
    <w:p>
      <w:pPr>
        <w:pStyle w:val="ListBullet"/>
      </w:pPr>
      <w:r>
        <w:t>All changes require peer review and validation in the Payment Processing Service before production promotion.</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Evidence artifacts are retained in Slack for at least 18 months.</w:t>
      </w:r>
    </w:p>
    <w:p>
      <w:pPr>
        <w:pStyle w:val="Heading1"/>
      </w:pPr>
      <w:r>
        <w:t>Resolution</w:t>
      </w:r>
    </w:p>
    <w:p>
      <w:r>
        <w:t>Systems are monitored via Azure and alert routing in Slack. All incidents are tagged with severity and mapped to service tiers. Teams must log requests in Slack and track outcomes in Payment Processing Service for audit readiness. Stakeholders include the Platform Engineer, service owner, and compliance lead for approvals.</w:t>
      </w:r>
    </w:p>
    <w:p>
      <w:r>
        <w:t>Stakeholders include the Platform Engineer, service owner, and compliance lead for approvals. Escalations should follow the on-call rotation with a response target of 15 minutes. Teams must log requests in Slack and track outcomes in Payment Processing Service for audit readiness.</w:t>
      </w:r>
    </w:p>
    <w:p>
      <w:pPr>
        <w:pStyle w:val="ListBullet"/>
      </w:pPr>
      <w:r>
        <w:t>Stakeholders include the Platform Engineer, service owner, and compliance lead for approvals.</w:t>
      </w:r>
    </w:p>
    <w:p>
      <w:pPr>
        <w:pStyle w:val="ListBullet"/>
      </w:pPr>
      <w:r>
        <w:t>All incidents are tagged with severity and mapped to service tiers.</w:t>
      </w:r>
    </w:p>
    <w:p>
      <w:pPr>
        <w:pStyle w:val="ListBullet"/>
      </w:pPr>
      <w:r>
        <w:t>Regional teams in EU follow the same policy with localized legal review.</w:t>
      </w:r>
    </w:p>
    <w:p>
      <w:pPr>
        <w:pStyle w:val="ListBullet"/>
      </w:pPr>
      <w:r>
        <w:t>All changes require peer review and validation in the Payment Processing Service before production promotion.</w:t>
      </w:r>
    </w:p>
    <w:p>
      <w:pPr>
        <w:pStyle w:val="Heading1"/>
      </w:pPr>
      <w:r>
        <w:t>Escalation</w:t>
      </w:r>
    </w:p>
    <w:p>
      <w:r>
        <w:t>Systems are monitored via Azure and alert routing in Slack. The process integrates with Payment Processing Service and depends on Azure for telemetry signals.</w:t>
      </w:r>
    </w:p>
    <w:p>
      <w:pPr>
        <w:pStyle w:val="ListBullet"/>
      </w:pPr>
      <w:r>
        <w:t>All changes require peer review and validation in the Payment Processing Service before production promotion.</w:t>
      </w:r>
    </w:p>
    <w:p>
      <w:pPr>
        <w:pStyle w:val="ListBullet"/>
      </w:pPr>
      <w:r>
        <w:t>The process integrates with Payment Processing Service and depends on Azure for telemetry signals.</w:t>
      </w:r>
    </w:p>
    <w:p>
      <w:pPr>
        <w:pStyle w:val="ListBullet"/>
      </w:pPr>
      <w:r>
        <w:t>Risk acceptance must be documented and revalidated each quarter.</w:t>
      </w:r>
    </w:p>
    <w:p>
      <w:pPr>
        <w:pStyle w:val="ListBullet"/>
      </w:pPr>
      <w:r>
        <w:t>All changes require peer review and validation in the Payment Processing Service before production promotion.</w:t>
      </w:r>
    </w:p>
    <w:p>
      <w:pPr>
        <w:pStyle w:val="ListBullet"/>
      </w:pPr>
      <w:r>
        <w:t>All incidents are tagged with severity and mapped to service tiers.</w:t>
      </w:r>
    </w:p>
    <w:p>
      <w:pPr>
        <w:pStyle w:val="Heading1"/>
      </w:pPr>
      <w:r>
        <w:t>Customer Follow-Up</w:t>
      </w:r>
    </w:p>
    <w:p>
      <w:r>
        <w:t>Risk acceptance must be documented and revalidated each quarter. All incidents are tagged with severity and mapped to service tiers.</w:t>
      </w:r>
    </w:p>
    <w:p>
      <w:r>
        <w:t>Systems are monitored via Azure and alert routing in Slack. Escalations should follow the on-call rotation with a response target of 15 minutes. The Legal organization uses Azure to enforce consistent service baselines.</w:t>
      </w:r>
    </w:p>
    <w:p>
      <w:pPr>
        <w:pStyle w:val="ListBullet"/>
      </w:pPr>
      <w:r>
        <w:t>Evidence artifacts are retained in Slack for at least 18 months.</w:t>
      </w:r>
    </w:p>
    <w:p>
      <w:pPr>
        <w:pStyle w:val="ListBullet"/>
      </w:pPr>
      <w:r>
        <w:t>Teams must log requests in Slack and track outcomes in Payment Processing Service for audit readiness.</w:t>
      </w:r>
    </w:p>
    <w:p>
      <w:pPr>
        <w:pStyle w:val="ListBullet"/>
      </w:pPr>
      <w:r>
        <w:t>Teams must log requests in Slack and track outcomes in Payment Processing Service for audit readiness.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Platform Engineer</w:t>
            </w:r>
          </w:p>
        </w:tc>
        <w:tc>
          <w:tcPr>
            <w:tcW w:type="dxa" w:w="2880"/>
          </w:tcPr>
          <w:p>
            <w:r>
              <w:t>In Progress</w:t>
            </w:r>
          </w:p>
        </w:tc>
      </w:tr>
      <w:tr>
        <w:tc>
          <w:tcPr>
            <w:tcW w:type="dxa" w:w="2880"/>
          </w:tcPr>
          <w:p>
            <w:r>
              <w:t>Vendor check</w:t>
            </w:r>
          </w:p>
        </w:tc>
        <w:tc>
          <w:tcPr>
            <w:tcW w:type="dxa" w:w="2880"/>
          </w:tcPr>
          <w:p>
            <w:r>
              <w:t>Legal</w:t>
            </w:r>
          </w:p>
        </w:tc>
        <w:tc>
          <w:tcPr>
            <w:tcW w:type="dxa" w:w="2880"/>
          </w:tcPr>
          <w:p>
            <w:r>
              <w:t>Planned</w:t>
            </w:r>
          </w:p>
        </w:tc>
      </w:tr>
      <w:tr>
        <w:tc>
          <w:tcPr>
            <w:tcW w:type="dxa" w:w="2880"/>
          </w:tcPr>
          <w:p>
            <w:r>
              <w:t>Incident drill</w:t>
            </w:r>
          </w:p>
        </w:tc>
        <w:tc>
          <w:tcPr>
            <w:tcW w:type="dxa" w:w="2880"/>
          </w:tcPr>
          <w:p>
            <w:r>
              <w:t>Legal</w:t>
            </w:r>
          </w:p>
        </w:tc>
        <w:tc>
          <w:tcPr>
            <w:tcW w:type="dxa" w:w="2880"/>
          </w:tcPr>
          <w:p>
            <w:r>
              <w:t>Complete</w:t>
            </w:r>
          </w:p>
        </w:tc>
      </w:tr>
      <w:tr>
        <w:tc>
          <w:tcPr>
            <w:tcW w:type="dxa" w:w="2880"/>
          </w:tcPr>
          <w:p>
            <w:r>
              <w:t>Incident drill</w:t>
            </w:r>
          </w:p>
        </w:tc>
        <w:tc>
          <w:tcPr>
            <w:tcW w:type="dxa" w:w="2880"/>
          </w:tcPr>
          <w:p>
            <w:r>
              <w:t>Operations</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