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Procurement APAC v2.1</w:t>
      </w:r>
    </w:p>
    <w:p>
      <w:r>
        <w:t>Department: Procurement</w:t>
      </w:r>
    </w:p>
    <w:p>
      <w:r>
        <w:t>Author: Avery Garcia</w:t>
      </w:r>
    </w:p>
    <w:p>
      <w:r>
        <w:t>Created date: 2026-04-11</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All incidents are tagged with severity and mapped to service tiers. This document aligns with ISO 27001 requirements and supports APAC data residency expectations. Escalations should follow the on-call rotation with a response target of 45 minutes. The Procurement team coordinates with Procurement Lead to maintain operational readiness.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Evidence artifacts are retained in Zoom for at least 18 months.</w:t>
      </w:r>
    </w:p>
    <w:p>
      <w:pPr>
        <w:pStyle w:val="ListBullet"/>
      </w:pPr>
      <w:r>
        <w:t>Systems are monitored via Kafka and alert routing in Zoom.</w:t>
      </w:r>
    </w:p>
    <w:p>
      <w:pPr>
        <w:pStyle w:val="ListBullet"/>
      </w:pPr>
      <w:r>
        <w:t>Escalations should follow the on-call rotation with a response target of 45 minutes.</w:t>
      </w:r>
    </w:p>
    <w:p>
      <w:pPr>
        <w:pStyle w:val="Heading1"/>
      </w:pPr>
      <w:r>
        <w:t>Triage</w:t>
      </w:r>
    </w:p>
    <w:p>
      <w:r>
        <w:t>Audit sampling occurs monthly and is summarized in leadership dashboards. Risk acceptance must be documented and revalidated each quarter.</w:t>
      </w:r>
    </w:p>
    <w:p>
      <w:r>
        <w:t>All incidents are tagged with severity and mapped to service tiers. Audit sampling occurs monthly and is summarized in leadership dashboards. The Procurement organization uses Kafka to enforce consistent service baselines. Regional teams in APAC follow the same policy with localized legal review.</w:t>
      </w:r>
    </w:p>
    <w:p>
      <w:pPr>
        <w:pStyle w:val="ListBullet"/>
      </w:pPr>
      <w:r>
        <w:t>Evidence artifacts are retained in Zoom for at least 18 months.</w:t>
      </w:r>
    </w:p>
    <w:p>
      <w:pPr>
        <w:pStyle w:val="ListBullet"/>
      </w:pPr>
      <w:r>
        <w:t>All incidents are tagged with severity and mapped to service tiers.</w:t>
      </w:r>
    </w:p>
    <w:p>
      <w:pPr>
        <w:pStyle w:val="ListBullet"/>
      </w:pPr>
      <w:r>
        <w:t>Audit sampling occurs monthly and is summarized in leadership dashboards.</w:t>
      </w:r>
    </w:p>
    <w:p>
      <w:pPr>
        <w:pStyle w:val="Heading1"/>
      </w:pPr>
      <w:r>
        <w:t>Resolution</w:t>
      </w:r>
    </w:p>
    <w:p>
      <w:r>
        <w:t>Stakeholders include the Procurement Lead, service owner, and compliance lead for approvals. All changes require peer review and validation in the Ticketing Platform before production promotion.</w:t>
      </w:r>
    </w:p>
    <w:p>
      <w:r>
        <w:t>This document aligns with ISO 27001 requirements and supports APAC data residency expectations. Risk acceptance must be documented and revalidated each quarter.</w:t>
      </w:r>
    </w:p>
    <w:p>
      <w:pPr>
        <w:pStyle w:val="ListBullet"/>
      </w:pPr>
      <w:r>
        <w:t>This document aligns with ISO 27001 requirements and supports APAC data residency expectations.</w:t>
      </w:r>
    </w:p>
    <w:p>
      <w:pPr>
        <w:pStyle w:val="ListBullet"/>
      </w:pPr>
      <w:r>
        <w:t>Systems are monitored via Kafka and alert routing in Zoom.</w:t>
      </w:r>
    </w:p>
    <w:p>
      <w:pPr>
        <w:pStyle w:val="ListBullet"/>
      </w:pPr>
      <w:r>
        <w:t>Regional teams in APAC follow the same policy with localized legal review.</w:t>
      </w:r>
    </w:p>
    <w:p>
      <w:pPr>
        <w:pStyle w:val="Heading1"/>
      </w:pPr>
      <w:r>
        <w:t>Escalation</w:t>
      </w:r>
    </w:p>
    <w:p>
      <w:r>
        <w:t>This document aligns with ISO 27001 requirements and supports APAC data residency expectations. The Procurement team coordinates with Procurement Lead to maintain operational readiness.</w:t>
      </w:r>
    </w:p>
    <w:p>
      <w:r>
        <w:t>Audit sampling occurs monthly and is summarized in leadership dashboards. Risk acceptance must be documented and revalidated each quarter.</w:t>
      </w:r>
    </w:p>
    <w:p>
      <w:pPr>
        <w:pStyle w:val="ListBullet"/>
      </w:pPr>
      <w:r>
        <w:t>We prioritize customer impact, data integrity, and regulatory alignment.</w:t>
      </w:r>
    </w:p>
    <w:p>
      <w:pPr>
        <w:pStyle w:val="ListBullet"/>
      </w:pPr>
      <w:r>
        <w:t>Systems are monitored via Kafka and alert routing in Zoom.</w:t>
      </w:r>
    </w:p>
    <w:p>
      <w:pPr>
        <w:pStyle w:val="ListBullet"/>
      </w:pPr>
      <w:r>
        <w:t>This document aligns with ISO 27001 requirements and supports APAC data residency expectations.</w:t>
      </w:r>
    </w:p>
    <w:p>
      <w:pPr>
        <w:pStyle w:val="ListBullet"/>
      </w:pPr>
      <w:r>
        <w:t>Audit sampling occurs monthly and is summarized in leadership dashboards.</w:t>
      </w:r>
    </w:p>
    <w:p>
      <w:pPr>
        <w:pStyle w:val="ListBullet"/>
      </w:pPr>
      <w:r>
        <w:t>The Procurement team coordinates with Procurement Lead to maintain operational readiness.</w:t>
      </w:r>
    </w:p>
    <w:p>
      <w:pPr>
        <w:pStyle w:val="ListBullet"/>
      </w:pPr>
      <w:r>
        <w:t>The process integrates with Ticketing Platform and depends on Kafka for telemetry signals.</w:t>
      </w:r>
    </w:p>
    <w:p>
      <w:pPr>
        <w:pStyle w:val="Heading1"/>
      </w:pPr>
      <w:r>
        <w:t>Customer Follow-Up</w:t>
      </w:r>
    </w:p>
    <w:p>
      <w:r>
        <w:t>Risk acceptance must be documented and revalidated each quarter. Regional teams in APAC follow the same policy with localized legal review. This document aligns with ISO 27001 requirements and supports APAC data residency expectations. Risk acceptance must be documented and revalidated each quarter.</w:t>
      </w:r>
    </w:p>
    <w:p>
      <w:r>
        <w:t>All changes require peer review and validation in the Ticketing Platform before production promotion. Escalations should follow the on-call rotation with a response target of 45 minutes. Risk acceptance must be documented and revalidated each quarter. All changes require peer review and validation in the Ticketing Platform before production promotion.</w:t>
      </w:r>
    </w:p>
    <w:p>
      <w:pPr>
        <w:pStyle w:val="ListBullet"/>
      </w:pPr>
      <w:r>
        <w:t>The process integrates with Ticketing Platform and depends on Kafka for telemetry signals.</w:t>
      </w:r>
    </w:p>
    <w:p>
      <w:pPr>
        <w:pStyle w:val="ListBullet"/>
      </w:pPr>
      <w:r>
        <w:t>Evidence artifacts are retained in Zoom for at least 18 months.</w:t>
      </w:r>
    </w:p>
    <w:p>
      <w:pPr>
        <w:pStyle w:val="ListBullet"/>
      </w:pPr>
      <w:r>
        <w:t>The Procurement organization uses Kafka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Procurement Lead</w:t>
            </w:r>
          </w:p>
        </w:tc>
        <w:tc>
          <w:tcPr>
            <w:tcW w:type="dxa" w:w="2880"/>
          </w:tcPr>
          <w:p>
            <w:r>
              <w:t>Complete</w:t>
            </w:r>
          </w:p>
        </w:tc>
      </w:tr>
      <w:tr>
        <w:tc>
          <w:tcPr>
            <w:tcW w:type="dxa" w:w="2880"/>
          </w:tcPr>
          <w:p>
            <w:r>
              <w:t>Incident drill</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