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Procurement EU v1.1</w:t>
      </w:r>
    </w:p>
    <w:p>
      <w:r>
        <w:t>Department: Procurement</w:t>
      </w:r>
    </w:p>
    <w:p>
      <w:r>
        <w:t>Author: Taylor Lee</w:t>
      </w:r>
    </w:p>
    <w:p>
      <w:r>
        <w:t>Created date: 2024-08-20</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The Procurement organization uses Azure AD to enforce consistent service baselines. Escalations should follow the on-call rotation with a response target of 15 minutes. Regional teams in EU follow the same policy with localized legal review. We prioritize customer impact, data integrity, and regulatory alignment.</w:t>
      </w:r>
    </w:p>
    <w:p>
      <w:r>
        <w:t>Teams must log requests in Google Workspace and track outcomes in CI/CD Pipeline for audit readiness. This document aligns with HIPAA requirements and supports EU data residency expectations. Systems are monitored via Azure AD and alert routing in Google Workspace. Stakeholders include the Platform Engineer, service owner, and compliance lead for approvals.</w:t>
      </w:r>
    </w:p>
    <w:p>
      <w:pPr>
        <w:pStyle w:val="ListBullet"/>
      </w:pPr>
      <w:r>
        <w:t>Teams must log requests in Google Workspace and track outcomes in CI/CD Pipeline for audit readiness.</w:t>
      </w:r>
    </w:p>
    <w:p>
      <w:pPr>
        <w:pStyle w:val="ListBullet"/>
      </w:pPr>
      <w:r>
        <w:t>Stakeholders include the Platform Engineer, service owner, and compliance lead for approvals.</w:t>
      </w:r>
    </w:p>
    <w:p>
      <w:pPr>
        <w:pStyle w:val="ListBullet"/>
      </w:pPr>
      <w:r>
        <w:t>Stakeholders include the Platform Engineer, service owner, and compliance lead for approvals.</w:t>
      </w:r>
    </w:p>
    <w:p>
      <w:pPr>
        <w:pStyle w:val="ListBullet"/>
      </w:pPr>
      <w:r>
        <w:t>Audit sampling occurs monthly and is summarized in leadership dashboards.</w:t>
      </w:r>
    </w:p>
    <w:p>
      <w:pPr>
        <w:pStyle w:val="ListBullet"/>
      </w:pPr>
      <w:r>
        <w:t>The Procurement organization uses Azure AD to enforce consistent service baselines.</w:t>
      </w:r>
    </w:p>
    <w:p>
      <w:pPr>
        <w:pStyle w:val="ListBullet"/>
      </w:pPr>
      <w:r>
        <w:t>The process integrates with CI/CD Pipeline and depends on Azure AD for telemetry signals.</w:t>
      </w:r>
    </w:p>
    <w:p>
      <w:pPr>
        <w:pStyle w:val="Heading1"/>
      </w:pPr>
      <w:r>
        <w:t>Triage</w:t>
      </w:r>
    </w:p>
    <w:p>
      <w:r>
        <w:t>Regional teams in EU follow the same policy with localized legal review. Systems are monitored via Azure AD and alert routing in Google Workspace.</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Resolution</w:t>
      </w:r>
    </w:p>
    <w:p>
      <w:r>
        <w:t>Regional teams in EU follow the same policy with localized legal review. We prioritize customer impact, data integrity, and regulatory alignment. Regional teams in EU follow the same policy with localized legal review. Systems are monitored via Azure AD and alert routing in Google Workspace.</w:t>
      </w:r>
    </w:p>
    <w:p>
      <w:r>
        <w:t>Stakeholders include the Platform Engineer, service owner, and compliance lead for approvals. Audit sampling occurs monthly and is summarized in leadership dashboards. Audit sampling occurs monthly and is summarized in leadership dashboards. The Procurement organization uses Azure AD to enforce consistent service baselines.</w:t>
      </w:r>
    </w:p>
    <w:p>
      <w:pPr>
        <w:pStyle w:val="ListBullet"/>
      </w:pPr>
      <w:r>
        <w:t>Risk acceptance must be documented and revalidated each quarter.</w:t>
      </w:r>
    </w:p>
    <w:p>
      <w:pPr>
        <w:pStyle w:val="ListBullet"/>
      </w:pPr>
      <w:r>
        <w:t>The Procurement organization uses Azure AD to enforce consistent service baselines.</w:t>
      </w:r>
    </w:p>
    <w:p>
      <w:pPr>
        <w:pStyle w:val="ListBullet"/>
      </w:pPr>
      <w:r>
        <w:t>Systems are monitored via Azure AD and alert routing in Google Workspace.</w:t>
      </w:r>
    </w:p>
    <w:p>
      <w:pPr>
        <w:pStyle w:val="Heading1"/>
      </w:pPr>
      <w:r>
        <w:t>Escalation</w:t>
      </w:r>
    </w:p>
    <w:p>
      <w:r>
        <w:t>The process integrates with CI/CD Pipeline and depends on Azure AD for telemetry signals. Risk acceptance must be documented and revalidated each quarter. Evidence artifacts are retained in Google Workspace for at least 12 months.</w:t>
      </w:r>
    </w:p>
    <w:p>
      <w:r>
        <w:t>Systems are monitored via Azure AD and alert routing in Google Workspace. Stakeholders include the Platform Engineer, service owner, and compliance lead for approvals. Stakeholders include the Platform Engineer, service owner, and compliance lead for approvals.</w:t>
      </w:r>
    </w:p>
    <w:p>
      <w:pPr>
        <w:pStyle w:val="ListBullet"/>
      </w:pPr>
      <w:r>
        <w:t>All changes require peer review and validation in the CI/CD Pipeline before production promotion.</w:t>
      </w:r>
    </w:p>
    <w:p>
      <w:pPr>
        <w:pStyle w:val="ListBullet"/>
      </w:pPr>
      <w:r>
        <w:t>Systems are monitored via Azure AD and alert routing in Google Workspace.</w:t>
      </w:r>
    </w:p>
    <w:p>
      <w:pPr>
        <w:pStyle w:val="ListBullet"/>
      </w:pPr>
      <w:r>
        <w:t>The process integrates with CI/CD Pipeline and depends on Azure AD for telemetry signals.</w:t>
      </w:r>
    </w:p>
    <w:p>
      <w:pPr>
        <w:pStyle w:val="Heading1"/>
      </w:pPr>
      <w:r>
        <w:t>Customer Follow-Up</w:t>
      </w:r>
    </w:p>
    <w:p>
      <w:r>
        <w:t>All changes require peer review and validation in the CI/CD Pipeline before production promotion. Regional teams in EU follow the same policy with localized legal review. Audit sampling occurs monthly and is summarized in leadership dashboards.</w:t>
      </w:r>
    </w:p>
    <w:p>
      <w:r>
        <w:t>Audit sampling occurs monthly and is summarized in leadership dashboards. Risk acceptance must be documented and revalidated each quarter. Evidence artifacts are retained in Google Workspace for at least 12 months.</w:t>
      </w:r>
    </w:p>
    <w:p>
      <w:pPr>
        <w:pStyle w:val="ListBullet"/>
      </w:pPr>
      <w:r>
        <w:t>All incidents are tagged with severity and mapped to service tiers.</w:t>
      </w:r>
    </w:p>
    <w:p>
      <w:pPr>
        <w:pStyle w:val="ListBullet"/>
      </w:pPr>
      <w:r>
        <w:t>Teams must log requests in Google Workspace and track outcomes in CI/CD Pipeline for audit readiness.</w:t>
      </w:r>
    </w:p>
    <w:p>
      <w:pPr>
        <w:pStyle w:val="ListBullet"/>
      </w:pPr>
      <w:r>
        <w:t>The Procurement team coordinates with Platform Engineer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