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Procurement EU v1.2</w:t>
      </w:r>
    </w:p>
    <w:p>
      <w:r>
        <w:t>Department: Procurement</w:t>
      </w:r>
    </w:p>
    <w:p>
      <w:r>
        <w:t>Author: Avery Nguyen</w:t>
      </w:r>
    </w:p>
    <w:p>
      <w:r>
        <w:t>Created date: 2025-12-29</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incidents are tagged with severity and mapped to service tiers. Risk acceptance must be documented and revalidated each quarter.</w:t>
      </w:r>
    </w:p>
    <w:p>
      <w:r>
        <w:t>All incidents are tagged with severity and mapped to service tiers. The Procurement organization uses Vault to enforce consistent service baselines. Escalations should follow the on-call rotation with a response target of 60 minutes.</w:t>
      </w:r>
    </w:p>
    <w:p>
      <w:pPr>
        <w:pStyle w:val="ListBullet"/>
      </w:pPr>
      <w:r>
        <w:t>This document aligns with GDPR requirements and supports EU data residency expectations.</w:t>
      </w:r>
    </w:p>
    <w:p>
      <w:pPr>
        <w:pStyle w:val="ListBullet"/>
      </w:pPr>
      <w:r>
        <w:t>Stakeholders include the Security Analyst, service owner, and compliance lead for approvals.</w:t>
      </w:r>
    </w:p>
    <w:p>
      <w:pPr>
        <w:pStyle w:val="ListBullet"/>
      </w:pPr>
      <w:r>
        <w:t>This document aligns with GDPR requirements and supports EU data residency expectations.</w:t>
      </w:r>
    </w:p>
    <w:p>
      <w:pPr>
        <w:pStyle w:val="ListBullet"/>
      </w:pPr>
      <w:r>
        <w:t>The Procurement organization uses Vault to enforce consistent service baselines.</w:t>
      </w:r>
    </w:p>
    <w:p>
      <w:pPr>
        <w:pStyle w:val="ListBullet"/>
      </w:pPr>
      <w:r>
        <w:t>All incidents are tagged with severity and mapped to service tiers.</w:t>
      </w:r>
    </w:p>
    <w:p>
      <w:pPr>
        <w:pStyle w:val="Heading1"/>
      </w:pPr>
      <w:r>
        <w:t>Triage</w:t>
      </w:r>
    </w:p>
    <w:p>
      <w:r>
        <w:t>The process integrates with Payment Processing Service and depends on Vault for telemetry signals. The process integrates with Payment Processing Service and depends on Vault for telemetry signals.</w:t>
      </w:r>
    </w:p>
    <w:p>
      <w:pPr>
        <w:pStyle w:val="ListBullet"/>
      </w:pPr>
      <w:r>
        <w:t>All incidents are tagged with severity and mapped to service tiers.</w:t>
      </w:r>
    </w:p>
    <w:p>
      <w:pPr>
        <w:pStyle w:val="ListBullet"/>
      </w:pPr>
      <w:r>
        <w:t>The Procurement organization uses Vault to enforce consistent service baselines.</w:t>
      </w:r>
    </w:p>
    <w:p>
      <w:pPr>
        <w:pStyle w:val="ListBullet"/>
      </w:pPr>
      <w:r>
        <w:t>The Procurement team coordinates with Security Analyst to maintain operational readiness.</w:t>
      </w:r>
    </w:p>
    <w:p>
      <w:pPr>
        <w:pStyle w:val="ListBullet"/>
      </w:pPr>
      <w:r>
        <w:t>Systems are monitored via Vault and alert routing in Slack.</w:t>
      </w:r>
    </w:p>
    <w:p>
      <w:pPr>
        <w:pStyle w:val="ListBullet"/>
      </w:pPr>
      <w:r>
        <w:t>All incidents are tagged with severity and mapped to service tiers.</w:t>
      </w:r>
    </w:p>
    <w:p>
      <w:pPr>
        <w:pStyle w:val="ListBullet"/>
      </w:pPr>
      <w:r>
        <w:t>This document aligns with GDPR requirements and supports EU data residency expectations.</w:t>
      </w:r>
    </w:p>
    <w:p>
      <w:pPr>
        <w:pStyle w:val="Heading1"/>
      </w:pPr>
      <w:r>
        <w:t>Resolution</w:t>
      </w:r>
    </w:p>
    <w:p>
      <w:r>
        <w:t>Systems are monitored via Vault and alert routing in Slack. All changes require peer review and validation in the Payment Processing Service before production promotion.</w:t>
      </w:r>
    </w:p>
    <w:p>
      <w:r>
        <w:t>Systems are monitored via Vault and alert routing in Slack. All incidents are tagged with severity and mapped to service tiers. 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Evidence artifacts are retained in Slack for at least 36 months.</w:t>
      </w:r>
    </w:p>
    <w:p>
      <w:pPr>
        <w:pStyle w:val="ListBullet"/>
      </w:pPr>
      <w:r>
        <w:t>The process integrates with Payment Processing Service and depends on Vault for telemetry signals.</w:t>
      </w:r>
    </w:p>
    <w:p>
      <w:pPr>
        <w:pStyle w:val="ListBullet"/>
      </w:pPr>
      <w:r>
        <w:t>Evidence artifacts are retained in Slack for at least 36 months.</w:t>
      </w:r>
    </w:p>
    <w:p>
      <w:pPr>
        <w:pStyle w:val="Heading1"/>
      </w:pPr>
      <w:r>
        <w:t>Escalation</w:t>
      </w:r>
    </w:p>
    <w:p>
      <w:r>
        <w:t>We prioritize customer impact, data integrity, and regulatory alignment. All incidents are tagged with severity and mapped to service tiers. The Procurement team coordinates with Security Analyst to maintain operational readiness. All incidents are tagged with severity and mapped to service tiers.</w:t>
      </w:r>
    </w:p>
    <w:p>
      <w:pPr>
        <w:pStyle w:val="ListBullet"/>
      </w:pPr>
      <w:r>
        <w:t>We prioritize customer impact, data integrity, and regulatory alignment.</w:t>
      </w:r>
    </w:p>
    <w:p>
      <w:pPr>
        <w:pStyle w:val="ListBullet"/>
      </w:pPr>
      <w:r>
        <w:t>Stakeholders include the Security Analyst, service owner, and compliance lead for approvals.</w:t>
      </w:r>
    </w:p>
    <w:p>
      <w:pPr>
        <w:pStyle w:val="ListBullet"/>
      </w:pPr>
      <w:r>
        <w:t>Stakeholders include the Security Analyst, service owner, and compliance lead for approvals.</w:t>
      </w:r>
    </w:p>
    <w:p>
      <w:pPr>
        <w:pStyle w:val="ListBullet"/>
      </w:pPr>
      <w:r>
        <w:t>Evidence artifacts are retained in Slack for at least 36 months.</w:t>
      </w:r>
    </w:p>
    <w:p>
      <w:pPr>
        <w:pStyle w:val="ListBullet"/>
      </w:pPr>
      <w:r>
        <w:t>Regional teams in EU follow the same policy with localized legal review.</w:t>
      </w:r>
    </w:p>
    <w:p>
      <w:pPr>
        <w:pStyle w:val="Heading1"/>
      </w:pPr>
      <w:r>
        <w:t>Customer Follow-Up</w:t>
      </w:r>
    </w:p>
    <w:p>
      <w:r>
        <w:t>Evidence artifacts are retained in Slack for at least 36 months. The process integrates with Payment Processing Service and depends on Vault for telemetry signals. Systems are monitored via Vault and alert routing in Slack. Audit sampling occurs monthly and is summarized in leadership dashboards.</w:t>
      </w:r>
    </w:p>
    <w:p>
      <w:r>
        <w:t>The process integrates with Payment Processing Service and depends on Vault for telemetry signals. The Procurement team coordinates with Security Analyst to maintain operational readiness.</w:t>
      </w:r>
    </w:p>
    <w:p>
      <w:pPr>
        <w:pStyle w:val="ListBullet"/>
      </w:pPr>
      <w:r>
        <w:t>All changes require peer review and validation in the Payment Processing Service before production promotion.</w:t>
      </w:r>
    </w:p>
    <w:p>
      <w:pPr>
        <w:pStyle w:val="ListBullet"/>
      </w:pPr>
      <w:r>
        <w:t>This document aligns with GDPR requirements and supports EU data residency expectations.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 Analyst</w:t>
            </w:r>
          </w:p>
        </w:tc>
        <w:tc>
          <w:tcPr>
            <w:tcW w:type="dxa" w:w="2880"/>
          </w:tcPr>
          <w:p>
            <w:r>
              <w:t>Planned</w:t>
            </w:r>
          </w:p>
        </w:tc>
      </w:tr>
      <w:tr>
        <w:tc>
          <w:tcPr>
            <w:tcW w:type="dxa" w:w="2880"/>
          </w:tcPr>
          <w:p>
            <w:r>
              <w:t>Vendor check</w:t>
            </w:r>
          </w:p>
        </w:tc>
        <w:tc>
          <w:tcPr>
            <w:tcW w:type="dxa" w:w="2880"/>
          </w:tcPr>
          <w:p>
            <w:r>
              <w:t>Security Analyst</w:t>
            </w:r>
          </w:p>
        </w:tc>
        <w:tc>
          <w:tcPr>
            <w:tcW w:type="dxa" w:w="2880"/>
          </w:tcPr>
          <w:p>
            <w:r>
              <w:t>Complete</w:t>
            </w:r>
          </w:p>
        </w:tc>
      </w:tr>
      <w:tr>
        <w:tc>
          <w:tcPr>
            <w:tcW w:type="dxa" w:w="2880"/>
          </w:tcPr>
          <w:p>
            <w:r>
              <w:t>Access review</w:t>
            </w:r>
          </w:p>
        </w:tc>
        <w:tc>
          <w:tcPr>
            <w:tcW w:type="dxa" w:w="2880"/>
          </w:tcPr>
          <w:p>
            <w:r>
              <w:t>Operations</w:t>
            </w:r>
          </w:p>
        </w:tc>
        <w:tc>
          <w:tcPr>
            <w:tcW w:type="dxa" w:w="2880"/>
          </w:tcPr>
          <w:p>
            <w:r>
              <w:t>Complete</w:t>
            </w:r>
          </w:p>
        </w:tc>
      </w:tr>
      <w:tr>
        <w:tc>
          <w:tcPr>
            <w:tcW w:type="dxa" w:w="2880"/>
          </w:tcPr>
          <w:p>
            <w:r>
              <w:t>Access review</w:t>
            </w:r>
          </w:p>
        </w:tc>
        <w:tc>
          <w:tcPr>
            <w:tcW w:type="dxa" w:w="2880"/>
          </w:tcPr>
          <w:p>
            <w:r>
              <w:t>Procurement</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