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Security EU v3.0</w:t>
      </w:r>
    </w:p>
    <w:p>
      <w:r>
        <w:t>Department: Security</w:t>
      </w:r>
    </w:p>
    <w:p>
      <w:r>
        <w:t>Author: Casey Patel</w:t>
      </w:r>
    </w:p>
    <w:p>
      <w:r>
        <w:t>Created date: 2024-10-14</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Systems are monitored via Kubernetes and alert routing in Salesforce. The Security organization uses Kubernetes to enforce consistent service baselines. Regional teams in EU follow the same policy with localized legal review.</w:t>
      </w:r>
    </w:p>
    <w:p>
      <w:r>
        <w:t>Systems are monitored via Kubernetes and alert routing in Salesforce. We prioritize customer impact, data integrity, and regulatory alignment. Audit sampling occurs monthly and is summarized in leadership dashboards.</w:t>
      </w:r>
    </w:p>
    <w:p>
      <w:pPr>
        <w:pStyle w:val="ListBullet"/>
      </w:pPr>
      <w:r>
        <w:t>Risk acceptance must be documented and revalidated each quarter.</w:t>
      </w:r>
    </w:p>
    <w:p>
      <w:pPr>
        <w:pStyle w:val="ListBullet"/>
      </w:pPr>
      <w:r>
        <w:t>The Security organization uses Kubernetes to enforce consistent service baselines.</w:t>
      </w:r>
    </w:p>
    <w:p>
      <w:pPr>
        <w:pStyle w:val="ListBullet"/>
      </w:pPr>
      <w:r>
        <w:t>Risk acceptance must be documented and revalidated each quarter.</w:t>
      </w:r>
    </w:p>
    <w:p>
      <w:pPr>
        <w:pStyle w:val="ListBullet"/>
      </w:pPr>
      <w:r>
        <w:t>The Security team coordinates with SRE to maintain operational readiness.</w:t>
      </w:r>
    </w:p>
    <w:p>
      <w:pPr>
        <w:pStyle w:val="Heading1"/>
      </w:pPr>
      <w:r>
        <w:t>Triage</w:t>
      </w:r>
    </w:p>
    <w:p>
      <w:r>
        <w:t>This document aligns with SOC 2 requirements and supports EU data residency expectations. All incidents are tagged with severity and mapped to service tiers.</w:t>
      </w:r>
    </w:p>
    <w:p>
      <w:r>
        <w:t>Stakeholders include the SRE, service owner, and compliance lead for approvals. Regional teams in EU follow the same policy with localized legal review. All incidents are tagged with severity and mapped to service tiers.</w:t>
      </w:r>
    </w:p>
    <w:p>
      <w:pPr>
        <w:pStyle w:val="ListBullet"/>
      </w:pPr>
      <w:r>
        <w:t>Audit sampling occurs monthly and is summarized in leadership dashboards.</w:t>
      </w:r>
    </w:p>
    <w:p>
      <w:pPr>
        <w:pStyle w:val="ListBullet"/>
      </w:pPr>
      <w:r>
        <w:t>We prioritize customer impact, data integrity, and regulatory alignment.</w:t>
      </w:r>
    </w:p>
    <w:p>
      <w:pPr>
        <w:pStyle w:val="ListBullet"/>
      </w:pPr>
      <w:r>
        <w:t>All changes require peer review and validation in the CRM Platform before production promotion.</w:t>
      </w:r>
    </w:p>
    <w:p>
      <w:pPr>
        <w:pStyle w:val="Heading1"/>
      </w:pPr>
      <w:r>
        <w:t>Resolution</w:t>
      </w:r>
    </w:p>
    <w:p>
      <w:r>
        <w:t>Stakeholders include the SRE, service owner, and compliance lead for approvals. Stakeholders include the SRE, service owner, and compliance lead for approvals. Systems are monitored via Kubernetes and alert routing in Salesforce.</w:t>
      </w:r>
    </w:p>
    <w:p>
      <w:pPr>
        <w:pStyle w:val="ListBullet"/>
      </w:pPr>
      <w:r>
        <w:t>All incidents are tagged with severity and mapped to service tiers.</w:t>
      </w:r>
    </w:p>
    <w:p>
      <w:pPr>
        <w:pStyle w:val="ListBullet"/>
      </w:pPr>
      <w:r>
        <w:t>Evidence artifacts are retained in Salesforce for at least 24 months.</w:t>
      </w:r>
    </w:p>
    <w:p>
      <w:pPr>
        <w:pStyle w:val="ListBullet"/>
      </w:pPr>
      <w:r>
        <w:t>All changes require peer review and validation in the CRM Platform before production promotion.</w:t>
      </w:r>
    </w:p>
    <w:p>
      <w:pPr>
        <w:pStyle w:val="ListBullet"/>
      </w:pPr>
      <w:r>
        <w:t>Escalations should follow the on-call rotation with a response target of 45 minutes.</w:t>
      </w:r>
    </w:p>
    <w:p>
      <w:pPr>
        <w:pStyle w:val="ListBullet"/>
      </w:pPr>
      <w:r>
        <w:t>The process integrates with CRM Platform and depends on Kubernetes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Backup validation</w:t>
            </w:r>
          </w:p>
        </w:tc>
        <w:tc>
          <w:tcPr>
            <w:tcW w:type="dxa" w:w="2880"/>
          </w:tcPr>
          <w:p>
            <w:r>
              <w:t>Security</w:t>
            </w:r>
          </w:p>
        </w:tc>
        <w:tc>
          <w:tcPr>
            <w:tcW w:type="dxa" w:w="2880"/>
          </w:tcPr>
          <w:p>
            <w:r>
              <w:t>Blocked</w:t>
            </w:r>
          </w:p>
        </w:tc>
      </w:tr>
    </w:tbl>
    <w:p>
      <w:pPr>
        <w:pStyle w:val="Heading1"/>
      </w:pPr>
      <w:r>
        <w:t>Escalation</w:t>
      </w:r>
    </w:p>
    <w:p>
      <w:r>
        <w:t>Stakeholders include the SRE, service owner, and compliance lead for approvals. Stakeholders include the SRE, service owner, and compliance lead for approvals.</w:t>
      </w:r>
    </w:p>
    <w:p>
      <w:pPr>
        <w:pStyle w:val="ListBullet"/>
      </w:pPr>
      <w:r>
        <w:t>Escalations should follow the on-call rotation with a response target of 45 minutes.</w:t>
      </w:r>
    </w:p>
    <w:p>
      <w:pPr>
        <w:pStyle w:val="ListBullet"/>
      </w:pPr>
      <w:r>
        <w:t>Audit sampling occurs monthly and is summarized in leadership dashboards.</w:t>
      </w:r>
    </w:p>
    <w:p>
      <w:pPr>
        <w:pStyle w:val="ListBullet"/>
      </w:pPr>
      <w:r>
        <w:t>We prioritize customer impact, data integrity, and regulatory alignment.</w:t>
      </w:r>
    </w:p>
    <w:p>
      <w:pPr>
        <w:pStyle w:val="Heading1"/>
      </w:pPr>
      <w:r>
        <w:t>Customer Follow-Up</w:t>
      </w:r>
    </w:p>
    <w:p>
      <w:r>
        <w:t>Risk acceptance must be documented and revalidated each quarter. Regional teams in EU follow the same policy with localized legal review. Systems are monitored via Kubernetes and alert routing in Salesforce. Escalations should follow the on-call rotation with a response target of 45 minutes.</w:t>
      </w:r>
    </w:p>
    <w:p>
      <w:pPr>
        <w:pStyle w:val="ListBullet"/>
      </w:pPr>
      <w:r>
        <w:t>Audit sampling occurs monthly and is summarized in leadership dashboards.</w:t>
      </w:r>
    </w:p>
    <w:p>
      <w:pPr>
        <w:pStyle w:val="ListBullet"/>
      </w:pPr>
      <w:r>
        <w:t>The Security team coordinates with SRE to maintain operational readiness.</w:t>
      </w:r>
    </w:p>
    <w:p>
      <w:pPr>
        <w:pStyle w:val="ListBullet"/>
      </w:pPr>
      <w:r>
        <w:t>All changes require peer review and validation in the CRM Platform before production promotion.</w:t>
      </w:r>
    </w:p>
    <w:p>
      <w:pPr>
        <w:pStyle w:val="ListBullet"/>
      </w:pPr>
      <w:r>
        <w:t>Audit sampling occurs monthly and is summarized in leadership dashboards.</w:t>
      </w:r>
    </w:p>
    <w:p>
      <w:pPr>
        <w:pStyle w:val="ListBullet"/>
      </w:pPr>
      <w:r>
        <w:t>This document aligns with SOC 2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